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widowControl/>
        <w:tabs>
          <w:tab w:val="left" w:pos="335"/>
          <w:tab w:val="center" w:pos="4153"/>
        </w:tabs>
        <w:spacing w:line="800" w:lineRule="exact"/>
        <w:jc w:val="center"/>
        <w:rPr>
          <w:rFonts w:ascii="微软雅黑" w:hAnsi="微软雅黑" w:eastAsia="微软雅黑" w:cs="微软雅黑"/>
          <w:b/>
          <w:color w:val="000000"/>
          <w:spacing w:val="15"/>
          <w:kern w:val="0"/>
          <w:sz w:val="36"/>
          <w:szCs w:val="36"/>
        </w:rPr>
      </w:pPr>
    </w:p>
    <w:p>
      <w:pPr>
        <w:widowControl/>
        <w:tabs>
          <w:tab w:val="left" w:pos="335"/>
          <w:tab w:val="center" w:pos="4153"/>
        </w:tabs>
        <w:spacing w:line="420" w:lineRule="atLeast"/>
        <w:jc w:val="center"/>
        <w:rPr>
          <w:rFonts w:ascii="微软雅黑" w:hAnsi="微软雅黑" w:eastAsia="微软雅黑" w:cs="微软雅黑"/>
          <w:b/>
          <w:color w:val="000000"/>
          <w:spacing w:val="15"/>
          <w:kern w:val="0"/>
          <w:sz w:val="44"/>
          <w:szCs w:val="44"/>
        </w:rPr>
      </w:pPr>
      <w:r>
        <w:rPr>
          <w:rFonts w:hint="eastAsia" w:ascii="微软雅黑" w:hAnsi="微软雅黑" w:eastAsia="微软雅黑" w:cs="微软雅黑"/>
          <w:b/>
          <w:color w:val="000000"/>
          <w:spacing w:val="15"/>
          <w:kern w:val="0"/>
          <w:sz w:val="44"/>
          <w:szCs w:val="44"/>
        </w:rPr>
        <w:t>安徽钱营孜发电有限公司</w:t>
      </w:r>
    </w:p>
    <w:p>
      <w:pPr>
        <w:widowControl/>
        <w:tabs>
          <w:tab w:val="left" w:pos="335"/>
          <w:tab w:val="center" w:pos="4153"/>
        </w:tabs>
        <w:spacing w:line="420" w:lineRule="atLeast"/>
        <w:jc w:val="center"/>
        <w:rPr>
          <w:rFonts w:ascii="微软雅黑" w:hAnsi="微软雅黑" w:eastAsia="微软雅黑" w:cs="微软雅黑"/>
          <w:b/>
          <w:color w:val="000000"/>
          <w:spacing w:val="15"/>
          <w:kern w:val="0"/>
          <w:sz w:val="44"/>
          <w:szCs w:val="44"/>
        </w:rPr>
      </w:pPr>
      <w:r>
        <w:rPr>
          <w:rFonts w:hint="eastAsia" w:ascii="微软雅黑" w:hAnsi="微软雅黑" w:eastAsia="微软雅黑" w:cs="微软雅黑"/>
          <w:b/>
          <w:color w:val="000000"/>
          <w:spacing w:val="15"/>
          <w:kern w:val="0"/>
          <w:sz w:val="44"/>
          <w:szCs w:val="44"/>
        </w:rPr>
        <w:t>2019年度企业环境报告书</w:t>
      </w:r>
    </w:p>
    <w:p>
      <w:pPr>
        <w:widowControl/>
        <w:tabs>
          <w:tab w:val="left" w:pos="335"/>
          <w:tab w:val="center" w:pos="4153"/>
        </w:tabs>
        <w:spacing w:line="420" w:lineRule="atLeast"/>
        <w:jc w:val="left"/>
        <w:rPr>
          <w:rFonts w:ascii="微软雅黑" w:hAnsi="微软雅黑" w:eastAsia="微软雅黑" w:cs="微软雅黑"/>
          <w:b/>
          <w:color w:val="000000"/>
          <w:spacing w:val="15"/>
          <w:kern w:val="0"/>
          <w:sz w:val="44"/>
          <w:szCs w:val="44"/>
        </w:rPr>
      </w:pPr>
    </w:p>
    <w:p>
      <w:pPr>
        <w:widowControl/>
        <w:jc w:val="left"/>
        <w:rPr>
          <w:rFonts w:ascii="微软雅黑" w:hAnsi="微软雅黑" w:eastAsia="微软雅黑" w:cs="微软雅黑"/>
          <w:color w:val="000000"/>
          <w:spacing w:val="15"/>
          <w:szCs w:val="21"/>
        </w:rPr>
      </w:pPr>
      <w:r>
        <w:rPr>
          <w:rFonts w:hint="eastAsia" w:ascii="微软雅黑" w:hAnsi="微软雅黑" w:eastAsia="微软雅黑" w:cs="微软雅黑"/>
          <w:color w:val="000000"/>
          <w:spacing w:val="15"/>
          <w:kern w:val="0"/>
          <w:szCs w:val="21"/>
        </w:rPr>
        <w:t> </w:t>
      </w:r>
    </w:p>
    <w:p>
      <w:pPr>
        <w:rPr>
          <w:rFonts w:ascii="微软雅黑" w:hAnsi="微软雅黑" w:eastAsia="微软雅黑" w:cs="微软雅黑"/>
          <w:szCs w:val="21"/>
        </w:rPr>
      </w:pPr>
      <w:r>
        <w:rPr>
          <w:rFonts w:hint="eastAsia" w:ascii="微软雅黑" w:hAnsi="微软雅黑" w:eastAsia="微软雅黑" w:cs="微软雅黑"/>
          <w:szCs w:val="21"/>
        </w:rPr>
        <w:drawing>
          <wp:inline distT="0" distB="0" distL="114300" distR="114300">
            <wp:extent cx="5318125" cy="3616325"/>
            <wp:effectExtent l="0" t="0" r="3175" b="3175"/>
            <wp:docPr id="4" name="图片 4" descr="d9c27b788769ea0ff67537ab86ed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9c27b788769ea0ff67537ab86edfcc"/>
                    <pic:cNvPicPr>
                      <a:picLocks noChangeAspect="1"/>
                    </pic:cNvPicPr>
                  </pic:nvPicPr>
                  <pic:blipFill>
                    <a:blip r:embed="rId4"/>
                    <a:stretch>
                      <a:fillRect/>
                    </a:stretch>
                  </pic:blipFill>
                  <pic:spPr>
                    <a:xfrm>
                      <a:off x="0" y="0"/>
                      <a:ext cx="5318125" cy="3616325"/>
                    </a:xfrm>
                    <a:prstGeom prst="rect">
                      <a:avLst/>
                    </a:prstGeom>
                  </pic:spPr>
                </pic:pic>
              </a:graphicData>
            </a:graphic>
          </wp:inline>
        </w:drawing>
      </w:r>
    </w:p>
    <w:p>
      <w:pPr>
        <w:rPr>
          <w:rFonts w:ascii="微软雅黑" w:hAnsi="微软雅黑" w:eastAsia="微软雅黑" w:cs="微软雅黑"/>
          <w:szCs w:val="21"/>
        </w:rPr>
      </w:pPr>
    </w:p>
    <w:p>
      <w:pPr>
        <w:rPr>
          <w:rFonts w:ascii="微软雅黑" w:hAnsi="微软雅黑" w:eastAsia="微软雅黑" w:cs="微软雅黑"/>
          <w:szCs w:val="21"/>
        </w:rPr>
      </w:pPr>
    </w:p>
    <w:p>
      <w:pPr>
        <w:rPr>
          <w:rFonts w:ascii="微软雅黑" w:hAnsi="微软雅黑" w:eastAsia="微软雅黑" w:cs="微软雅黑"/>
          <w:szCs w:val="21"/>
        </w:rPr>
      </w:pPr>
    </w:p>
    <w:p>
      <w:pPr>
        <w:tabs>
          <w:tab w:val="left" w:pos="4725"/>
        </w:tabs>
        <w:jc w:val="center"/>
        <w:rPr>
          <w:rFonts w:ascii="方正小标宋_GBK" w:hAnsi="Times New Roman" w:eastAsia="方正小标宋_GBK" w:cs="Times New Roman"/>
          <w:spacing w:val="-6"/>
          <w:sz w:val="32"/>
          <w:szCs w:val="32"/>
        </w:rPr>
      </w:pPr>
      <w:r>
        <w:rPr>
          <w:rFonts w:hint="eastAsia" w:ascii="方正小标宋_GBK" w:hAnsi="Times New Roman" w:eastAsia="方正小标宋_GBK" w:cs="Times New Roman"/>
          <w:spacing w:val="-6"/>
          <w:sz w:val="32"/>
          <w:szCs w:val="32"/>
        </w:rPr>
        <w:t>二〇二〇年八月</w:t>
      </w:r>
    </w:p>
    <w:p>
      <w:pPr>
        <w:widowControl/>
        <w:spacing w:before="340" w:after="330" w:line="315" w:lineRule="atLeast"/>
        <w:jc w:val="left"/>
        <w:rPr>
          <w:rFonts w:ascii="微软雅黑" w:hAnsi="微软雅黑" w:eastAsia="微软雅黑" w:cs="微软雅黑"/>
          <w:b/>
          <w:color w:val="000000"/>
          <w:spacing w:val="15"/>
          <w:kern w:val="0"/>
          <w:sz w:val="28"/>
          <w:szCs w:val="28"/>
        </w:rPr>
      </w:pPr>
    </w:p>
    <w:p>
      <w:pPr>
        <w:jc w:val="center"/>
      </w:pPr>
    </w:p>
    <w:p>
      <w:pPr>
        <w:widowControl/>
        <w:spacing w:line="580" w:lineRule="exact"/>
        <w:ind w:firstLine="140" w:firstLineChars="44"/>
        <w:rPr>
          <w:rFonts w:ascii="方正黑体_GBK" w:hAnsi="黑体" w:eastAsia="方正黑体_GBK" w:cs="宋体"/>
          <w:color w:val="000000"/>
          <w:kern w:val="0"/>
          <w:sz w:val="32"/>
          <w:szCs w:val="32"/>
        </w:rPr>
      </w:pPr>
      <w:r>
        <w:rPr>
          <w:rFonts w:hint="eastAsia" w:ascii="方正黑体_GBK" w:hAnsi="黑体" w:eastAsia="方正黑体_GBK" w:cs="宋体"/>
          <w:color w:val="000000"/>
          <w:kern w:val="0"/>
          <w:sz w:val="32"/>
          <w:szCs w:val="32"/>
        </w:rPr>
        <w:t>一、公司总经理致辞</w:t>
      </w:r>
    </w:p>
    <w:p>
      <w:pPr>
        <w:widowControl/>
        <w:spacing w:line="580" w:lineRule="exact"/>
        <w:ind w:firstLine="707" w:firstLineChars="221"/>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企业作为社会发展的主要动力，环境资源的主要消耗者与环境污染源的主要产生者，应义不容辞的担当起推进生态文明建设，发展绿色经济的历史责任。保护环境，实现生产、生活和生态的良性循环，是每个企业应尽的社会责任。为此，公司致力于通过各种方式减少生产过程对资源的消耗、对环境的污染，积极履行绿色发展义务。</w:t>
      </w:r>
    </w:p>
    <w:p>
      <w:pPr>
        <w:widowControl/>
        <w:spacing w:line="580" w:lineRule="exact"/>
        <w:ind w:firstLine="707" w:firstLineChars="221"/>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我公司是2</w:t>
      </w:r>
      <w:r>
        <w:rPr>
          <w:rFonts w:ascii="仿宋_GB2312" w:hAnsi="黑体" w:eastAsia="仿宋_GB2312" w:cs="宋体"/>
          <w:color w:val="000000"/>
          <w:kern w:val="0"/>
          <w:sz w:val="32"/>
          <w:szCs w:val="32"/>
        </w:rPr>
        <w:t>018</w:t>
      </w:r>
      <w:r>
        <w:rPr>
          <w:rFonts w:hint="eastAsia" w:ascii="仿宋_GB2312" w:hAnsi="黑体" w:eastAsia="仿宋_GB2312" w:cs="宋体"/>
          <w:color w:val="000000"/>
          <w:kern w:val="0"/>
          <w:sz w:val="32"/>
          <w:szCs w:val="32"/>
        </w:rPr>
        <w:t>年实现2台3</w:t>
      </w:r>
      <w:r>
        <w:rPr>
          <w:rFonts w:ascii="仿宋_GB2312" w:hAnsi="黑体" w:eastAsia="仿宋_GB2312" w:cs="宋体"/>
          <w:color w:val="000000"/>
          <w:kern w:val="0"/>
          <w:sz w:val="32"/>
          <w:szCs w:val="32"/>
        </w:rPr>
        <w:t>50MW</w:t>
      </w:r>
      <w:r>
        <w:rPr>
          <w:rFonts w:hint="eastAsia" w:ascii="仿宋_GB2312" w:hAnsi="黑体" w:eastAsia="仿宋_GB2312" w:cs="宋体"/>
          <w:color w:val="000000"/>
          <w:kern w:val="0"/>
          <w:sz w:val="32"/>
          <w:szCs w:val="32"/>
        </w:rPr>
        <w:t>发电机组投运的新厂，在各级政府和上级主管部门的监督指导和支持下，始终坚持“安全第一、达标排放、防消结合、综合治理”的发展理念，坚持以人为本</w:t>
      </w:r>
      <w:bookmarkStart w:id="4" w:name="_GoBack"/>
      <w:bookmarkEnd w:id="4"/>
      <w:r>
        <w:rPr>
          <w:rFonts w:hint="eastAsia" w:ascii="仿宋_GB2312" w:hAnsi="黑体" w:eastAsia="仿宋_GB2312" w:cs="宋体"/>
          <w:color w:val="000000"/>
          <w:kern w:val="0"/>
          <w:sz w:val="32"/>
          <w:szCs w:val="32"/>
        </w:rPr>
        <w:t>、全面、 协调、可持续的发展观，坚持“经济效益与生态保护并重” 的方针，在保持企业生产形势稳定的同时，环境保护工作也保持了良好的态势，实现了企业经营与环境保护的良性发展。</w:t>
      </w:r>
    </w:p>
    <w:p>
      <w:pPr>
        <w:widowControl/>
        <w:spacing w:line="580" w:lineRule="exact"/>
        <w:ind w:firstLine="707" w:firstLineChars="221"/>
        <w:rPr>
          <w:rFonts w:hint="eastAsia"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依据国家环保部《企业环境报告书编制导则》（HJ617-2011）的相关要求，我公司组织编制了《安徽钱营孜发电有限公司2019年环境报告书》，我们希望通过 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年度本公司的环境报告，将公司的环境信息系统、透明、真实地传达给公众，以实现企业与社会之间的环境信息交流，进一步履行社会责任和义务，并诚恳接受社会、公众和各级环境管理部门的监督指导。</w:t>
      </w:r>
    </w:p>
    <w:p>
      <w:pPr>
        <w:widowControl/>
        <w:spacing w:line="580" w:lineRule="exact"/>
        <w:rPr>
          <w:rFonts w:ascii="方正黑体_GBK" w:hAnsi="黑体" w:eastAsia="方正黑体_GBK" w:cs="宋体"/>
          <w:color w:val="000000"/>
          <w:kern w:val="0"/>
          <w:sz w:val="32"/>
          <w:szCs w:val="32"/>
        </w:rPr>
      </w:pPr>
      <w:r>
        <w:rPr>
          <w:rFonts w:hint="eastAsia" w:ascii="方正黑体_GBK" w:hAnsi="黑体" w:eastAsia="方正黑体_GBK" w:cs="宋体"/>
          <w:color w:val="000000"/>
          <w:kern w:val="0"/>
          <w:sz w:val="32"/>
          <w:szCs w:val="32"/>
        </w:rPr>
        <w:t>二、企业概况及编制说明</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㈠ 企业概况</w:t>
      </w:r>
    </w:p>
    <w:tbl>
      <w:tblPr>
        <w:tblStyle w:val="10"/>
        <w:tblpPr w:leftFromText="180" w:rightFromText="180" w:vertAnchor="text" w:horzAnchor="margin" w:tblpY="573"/>
        <w:tblOverlap w:val="never"/>
        <w:tblW w:w="874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74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052" w:hRule="atLeast"/>
        </w:trPr>
        <w:tc>
          <w:tcPr>
            <w:tcW w:w="8741" w:type="dxa"/>
          </w:tcPr>
          <w:p>
            <w:pPr>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企业名称：</w:t>
            </w:r>
            <w:r>
              <w:rPr>
                <w:rFonts w:hint="eastAsia" w:ascii="仿宋_GB2312" w:hAnsi="黑体" w:eastAsia="仿宋_GB2312" w:cs="宋体"/>
                <w:color w:val="000000"/>
                <w:kern w:val="0"/>
                <w:sz w:val="32"/>
                <w:szCs w:val="32"/>
              </w:rPr>
              <w:t xml:space="preserve">安徽钱营孜发电有限公司       </w:t>
            </w:r>
          </w:p>
          <w:p>
            <w:pPr>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所属行业：</w:t>
            </w:r>
            <w:r>
              <w:rPr>
                <w:rFonts w:hint="eastAsia" w:ascii="仿宋_GB2312" w:hAnsi="黑体" w:eastAsia="仿宋_GB2312" w:cs="宋体"/>
                <w:color w:val="000000"/>
                <w:kern w:val="0"/>
                <w:sz w:val="32"/>
                <w:szCs w:val="32"/>
              </w:rPr>
              <w:t xml:space="preserve">火力发电      </w:t>
            </w:r>
          </w:p>
          <w:p>
            <w:pPr>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法人代表：</w:t>
            </w:r>
            <w:r>
              <w:rPr>
                <w:rFonts w:hint="eastAsia" w:ascii="仿宋_GB2312" w:hAnsi="黑体" w:eastAsia="仿宋_GB2312" w:cs="宋体"/>
                <w:color w:val="000000"/>
                <w:kern w:val="0"/>
                <w:sz w:val="32"/>
                <w:szCs w:val="32"/>
              </w:rPr>
              <w:t>胡兴权</w:t>
            </w:r>
          </w:p>
          <w:p>
            <w:pPr>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联系人：</w:t>
            </w:r>
            <w:r>
              <w:rPr>
                <w:rFonts w:hint="eastAsia" w:ascii="仿宋_GB2312" w:hAnsi="黑体" w:eastAsia="仿宋_GB2312" w:cs="宋体"/>
                <w:color w:val="000000"/>
                <w:kern w:val="0"/>
                <w:sz w:val="32"/>
                <w:szCs w:val="32"/>
              </w:rPr>
              <w:t>张学红</w:t>
            </w:r>
            <w:r>
              <w:rPr>
                <w:rFonts w:ascii="仿宋_GB2312" w:hAnsi="黑体" w:eastAsia="仿宋_GB2312" w:cs="宋体"/>
                <w:color w:val="000000"/>
                <w:kern w:val="0"/>
                <w:sz w:val="32"/>
                <w:szCs w:val="32"/>
              </w:rPr>
              <w:t>　</w:t>
            </w:r>
          </w:p>
          <w:p>
            <w:pPr>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地址及邮政编码：</w:t>
            </w:r>
            <w:r>
              <w:rPr>
                <w:rFonts w:hint="eastAsia" w:ascii="仿宋_GB2312" w:hAnsi="黑体" w:eastAsia="仿宋_GB2312" w:cs="宋体"/>
                <w:color w:val="000000"/>
                <w:kern w:val="0"/>
                <w:sz w:val="32"/>
                <w:szCs w:val="32"/>
              </w:rPr>
              <w:t>234116</w:t>
            </w:r>
            <w:r>
              <w:rPr>
                <w:rFonts w:ascii="仿宋_GB2312" w:hAnsi="黑体" w:eastAsia="仿宋_GB2312" w:cs="宋体"/>
                <w:color w:val="000000"/>
                <w:kern w:val="0"/>
                <w:sz w:val="32"/>
                <w:szCs w:val="32"/>
              </w:rPr>
              <w:t>电话及传真：</w:t>
            </w:r>
            <w:r>
              <w:rPr>
                <w:rFonts w:hint="eastAsia" w:ascii="仿宋_GB2312" w:hAnsi="黑体" w:eastAsia="仿宋_GB2312" w:cs="宋体"/>
                <w:color w:val="000000"/>
                <w:kern w:val="0"/>
                <w:sz w:val="32"/>
                <w:szCs w:val="32"/>
              </w:rPr>
              <w:t xml:space="preserve">0557-3756710（传真） </w:t>
            </w:r>
          </w:p>
          <w:p>
            <w:pPr>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年末职工总数：</w:t>
            </w:r>
            <w:r>
              <w:rPr>
                <w:rFonts w:hint="eastAsia" w:ascii="仿宋_GB2312" w:hAnsi="黑体" w:eastAsia="仿宋_GB2312" w:cs="宋体"/>
                <w:color w:val="000000"/>
                <w:kern w:val="0"/>
                <w:sz w:val="32"/>
                <w:szCs w:val="32"/>
              </w:rPr>
              <w:t>156人</w:t>
            </w:r>
          </w:p>
          <w:p>
            <w:pPr>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投产日期：</w:t>
            </w:r>
            <w:r>
              <w:rPr>
                <w:rFonts w:hint="eastAsia" w:ascii="仿宋_GB2312" w:hAnsi="黑体" w:eastAsia="仿宋_GB2312" w:cs="宋体"/>
                <w:color w:val="000000"/>
                <w:kern w:val="0"/>
                <w:sz w:val="32"/>
                <w:szCs w:val="32"/>
              </w:rPr>
              <w:t>2018年</w:t>
            </w:r>
            <w:r>
              <w:rPr>
                <w:rFonts w:ascii="仿宋_GB2312" w:hAnsi="黑体" w:eastAsia="仿宋_GB2312" w:cs="宋体"/>
                <w:color w:val="000000"/>
                <w:kern w:val="0"/>
                <w:sz w:val="32"/>
                <w:szCs w:val="32"/>
              </w:rPr>
              <w:t>8</w:t>
            </w:r>
            <w:r>
              <w:rPr>
                <w:rFonts w:hint="eastAsia" w:ascii="仿宋_GB2312" w:hAnsi="黑体" w:eastAsia="仿宋_GB2312" w:cs="宋体"/>
                <w:color w:val="000000"/>
                <w:kern w:val="0"/>
                <w:sz w:val="32"/>
                <w:szCs w:val="32"/>
              </w:rPr>
              <w:t>月</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主要产品、生产能力（实际）及工艺：建设经营2x350MW低热值煤发电项目及后续项目，电（热）能的生产和销售；电厂废弃物的综合利用及经营；电力技术咨询、服务；电力物资、设备采购和销售；（依法须经批准的项目，经相关部门批准后方可开展经营活动）</w:t>
            </w:r>
          </w:p>
          <w:p>
            <w:pPr>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关键设备：</w:t>
            </w:r>
          </w:p>
          <w:p>
            <w:pPr>
              <w:adjustRightInd w:val="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——锅炉为</w:t>
            </w:r>
            <w:r>
              <w:rPr>
                <w:rFonts w:hint="eastAsia" w:ascii="仿宋_GB2312" w:hAnsi="黑体" w:eastAsia="仿宋_GB2312" w:cs="宋体"/>
                <w:color w:val="000000"/>
                <w:kern w:val="0"/>
                <w:sz w:val="32"/>
                <w:szCs w:val="32"/>
              </w:rPr>
              <w:t>超临界参数变压运行、单炉膛、一次中间再热、全钢架悬吊结构、循环流化床锅炉，最大连续蒸发量（</w:t>
            </w:r>
            <w:r>
              <w:rPr>
                <w:rFonts w:ascii="仿宋_GB2312" w:hAnsi="黑体" w:eastAsia="仿宋_GB2312" w:cs="宋体"/>
                <w:color w:val="000000"/>
                <w:kern w:val="0"/>
                <w:sz w:val="32"/>
                <w:szCs w:val="32"/>
              </w:rPr>
              <w:t>BMCR</w:t>
            </w:r>
            <w:r>
              <w:rPr>
                <w:rFonts w:hint="eastAsia" w:ascii="仿宋_GB2312" w:hAnsi="黑体" w:eastAsia="仿宋_GB2312" w:cs="宋体"/>
                <w:color w:val="000000"/>
                <w:kern w:val="0"/>
                <w:sz w:val="32"/>
                <w:szCs w:val="32"/>
              </w:rPr>
              <w:t xml:space="preserve">） </w:t>
            </w:r>
          </w:p>
          <w:p>
            <w:pPr>
              <w:adjustRightInd w:val="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2×1163t/h</w:t>
            </w:r>
          </w:p>
          <w:p>
            <w:pPr>
              <w:adjustRightInd w:val="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——汽轮机为</w:t>
            </w:r>
            <w:r>
              <w:rPr>
                <w:rFonts w:hint="eastAsia" w:ascii="仿宋_GB2312" w:hAnsi="黑体" w:eastAsia="仿宋_GB2312" w:cs="宋体"/>
                <w:color w:val="000000"/>
                <w:kern w:val="0"/>
                <w:sz w:val="32"/>
                <w:szCs w:val="32"/>
              </w:rPr>
              <w:t>超临界、一次中间再热、单轴、双缸双排汽、凝汽式汽轮机，参数</w:t>
            </w:r>
            <w:r>
              <w:rPr>
                <w:rFonts w:ascii="仿宋_GB2312" w:hAnsi="黑体" w:eastAsia="仿宋_GB2312" w:cs="宋体"/>
                <w:color w:val="000000"/>
                <w:kern w:val="0"/>
                <w:sz w:val="32"/>
                <w:szCs w:val="32"/>
              </w:rPr>
              <w:t xml:space="preserve">24.2MPa/566℃/566℃ </w:t>
            </w:r>
          </w:p>
          <w:p>
            <w:pPr>
              <w:adjustRightInd w:val="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——发电机为</w:t>
            </w:r>
            <w:r>
              <w:rPr>
                <w:rFonts w:hint="eastAsia" w:ascii="仿宋_GB2312" w:hAnsi="黑体" w:eastAsia="仿宋_GB2312" w:cs="宋体"/>
                <w:color w:val="000000"/>
                <w:kern w:val="0"/>
                <w:sz w:val="32"/>
                <w:szCs w:val="32"/>
              </w:rPr>
              <w:t>水氢氢冷、自并励静态励磁发电机，额定功率</w:t>
            </w:r>
            <w:r>
              <w:rPr>
                <w:rFonts w:ascii="仿宋_GB2312" w:hAnsi="黑体" w:eastAsia="仿宋_GB2312" w:cs="宋体"/>
                <w:color w:val="000000"/>
                <w:kern w:val="0"/>
                <w:sz w:val="32"/>
                <w:szCs w:val="32"/>
              </w:rPr>
              <w:t>2×350MW</w:t>
            </w:r>
            <w:r>
              <w:rPr>
                <w:rFonts w:hint="eastAsia" w:ascii="仿宋_GB2312" w:hAnsi="黑体" w:eastAsia="仿宋_GB2312" w:cs="宋体"/>
                <w:color w:val="000000"/>
                <w:kern w:val="0"/>
                <w:sz w:val="32"/>
                <w:szCs w:val="32"/>
              </w:rPr>
              <w:t>。</w:t>
            </w:r>
          </w:p>
          <w:p>
            <w:pPr>
              <w:rPr>
                <w:rFonts w:ascii="宋体" w:hAnsi="宋体"/>
                <w:szCs w:val="21"/>
              </w:rPr>
            </w:pPr>
          </w:p>
        </w:tc>
      </w:tr>
    </w:tbl>
    <w:p>
      <w:pPr>
        <w:spacing w:line="560" w:lineRule="exact"/>
        <w:rPr>
          <w:rFonts w:ascii="仿宋" w:hAnsi="仿宋" w:eastAsia="仿宋"/>
          <w:sz w:val="28"/>
          <w:szCs w:val="28"/>
        </w:rPr>
      </w:pP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安徽钱营孜发电有限公司利用钱营孜矿及附近30km范围内矿井洗煤厂的低热值煤资源，有利于提高能源资源利用效率、有利于减轻矿区生态环境污染、有利于节约土地和运力资源，符合安徽省能源局委托编制的《安徽省低热值煤发电中长期专项规划（2012-2020）》，属于《国家能源局关于促进低热值煤发电产业健康发展的通知》（国能电力〔2011〕396号）鼓励项目。</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 xml:space="preserve">2015年7月，由国电环境保护研究院完成了《宿州钱营孜2×350MW低热值煤发电工程环境影响报告书》的编制；2015年9月17日，项目环境影响报告书通过安徽省环保厅评审，以皖环函[2015]1134号文件同意本项目的建设。2015年12月9日安徽省发展和改革委员会以皖发改能源[2015]658号文对该项目进行核准工程于2015年12月28日开工建设。2018年1月，安徽钱营孜发电有限公司成功申领工程排污许可证。 </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 xml:space="preserve">2019年5月，安徽钱营孜发电有限公司委托安徽博强环保工程有限公司开展宿州钱营孜2×350MW低热值煤发电工程噪声、固废和电磁辐射环保验收工作，并于7月15日完成验收。 </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安徽钱营孜发电有限公司为完善工程 “三同时”制度、核查环境保护措施的落实情况，启动宿州钱营孜 2×350MW 低热值煤发电工程整体环保验收工作。安徽钱营孜发电有限公司组织工程设计单位（华东电力设计研究院）、施工单位（中国电力建设工程咨询有限公司）、环保验收咨询单位（安徽长之源环境工程有限公司）等单位成立了竣工环保验收工作组，对工程设计资料、环境影响报告书以及批复文件等进行了认真研读，并对建设现场进行了实地详细踏勘，调查工程及环保设施建设、调试情况，生态影响及恢复措施，公众对项目环境保护的意见等。安徽长之源环境工程有限公司作为验收技术咨询单位于 2019 年 7 月 1 日开展工程整体竣工环境保护验收监测工作。2019 年 7 月 1 日~2019 年 7 月 3 日，安徽上阳检测有限公司（编号：181212051357）对项目区域环境空气、地下水、地表水以及项目有组织废气、废水、厂界无组织废气产排情况进行了检测。</w:t>
      </w:r>
    </w:p>
    <w:p>
      <w:pPr>
        <w:ind w:firstLine="566" w:firstLineChars="177"/>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2019年，公司总发电量280862.16万KWh，供热量81410.4吉焦，实现工业总产值8.02亿元。</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1号、2号机组投产以来，主要生产规模和生产工艺流程未发生重大变化，截止到201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年底，在职员工156人。公司一直致力于建设资源节约型、环境友好型企业，实现企业可持续发展。</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㈡ 编制说明</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1、本报告的报告时限：2019年1月1日至2019年12月31日全年的环境保护情况。</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2、本次报告公告日期：20</w:t>
      </w:r>
      <w:r>
        <w:rPr>
          <w:rFonts w:ascii="仿宋_GB2312" w:hAnsi="黑体" w:eastAsia="仿宋_GB2312" w:cs="宋体"/>
          <w:color w:val="000000"/>
          <w:kern w:val="0"/>
          <w:sz w:val="32"/>
          <w:szCs w:val="32"/>
        </w:rPr>
        <w:t>20</w:t>
      </w:r>
      <w:r>
        <w:rPr>
          <w:rFonts w:hint="eastAsia" w:ascii="仿宋_GB2312" w:hAnsi="黑体" w:eastAsia="仿宋_GB2312" w:cs="宋体"/>
          <w:color w:val="000000"/>
          <w:kern w:val="0"/>
          <w:sz w:val="32"/>
          <w:szCs w:val="32"/>
        </w:rPr>
        <w:t>年8月。</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3、发布形式：皖能股份公司网站。</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安徽省皖能股份有限公司网址： http://www.wenergy.cn/</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编制部门：安徽钱营孜发电有限公司安全监督部</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 xml:space="preserve">联系电话：0557-3756780  0557-3756781 </w:t>
      </w:r>
    </w:p>
    <w:p>
      <w:pPr>
        <w:spacing w:line="560" w:lineRule="exact"/>
        <w:rPr>
          <w:rFonts w:hint="eastAsia"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本公司承诺本环境报告内容真实有效。</w:t>
      </w:r>
    </w:p>
    <w:p>
      <w:pPr>
        <w:widowControl/>
        <w:spacing w:line="580" w:lineRule="exact"/>
        <w:rPr>
          <w:rFonts w:ascii="方正黑体_GBK" w:hAnsi="黑体" w:eastAsia="方正黑体_GBK" w:cs="宋体"/>
          <w:color w:val="000000"/>
          <w:kern w:val="0"/>
          <w:sz w:val="32"/>
          <w:szCs w:val="32"/>
        </w:rPr>
      </w:pPr>
      <w:r>
        <w:rPr>
          <w:rFonts w:hint="eastAsia" w:ascii="方正黑体_GBK" w:hAnsi="黑体" w:eastAsia="方正黑体_GBK" w:cs="宋体"/>
          <w:color w:val="000000"/>
          <w:kern w:val="0"/>
          <w:sz w:val="32"/>
          <w:szCs w:val="32"/>
        </w:rPr>
        <w:t>三、企业环境管理状况</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㈠ 企业管理结构及措施</w:t>
      </w:r>
    </w:p>
    <w:p>
      <w:pPr>
        <w:pStyle w:val="18"/>
        <w:numPr>
          <w:ilvl w:val="0"/>
          <w:numId w:val="1"/>
        </w:numPr>
        <w:spacing w:line="560" w:lineRule="exact"/>
        <w:ind w:firstLineChars="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企业共设有</w:t>
      </w:r>
      <w:r>
        <w:rPr>
          <w:rFonts w:hint="eastAsia" w:ascii="仿宋_GB2312" w:hAnsi="黑体" w:eastAsia="仿宋_GB2312" w:cs="宋体"/>
          <w:color w:val="000000"/>
          <w:kern w:val="0"/>
          <w:sz w:val="32"/>
          <w:szCs w:val="32"/>
        </w:rPr>
        <w:t>“八部一室”9个</w:t>
      </w:r>
      <w:r>
        <w:rPr>
          <w:rFonts w:ascii="仿宋_GB2312" w:hAnsi="黑体" w:eastAsia="仿宋_GB2312" w:cs="宋体"/>
          <w:color w:val="000000"/>
          <w:kern w:val="0"/>
          <w:sz w:val="32"/>
          <w:szCs w:val="32"/>
        </w:rPr>
        <w:t>部门。具体组织结构图见</w:t>
      </w:r>
      <w:r>
        <w:rPr>
          <w:rFonts w:hint="eastAsia" w:ascii="仿宋_GB2312" w:hAnsi="黑体" w:eastAsia="仿宋_GB2312" w:cs="宋体"/>
          <w:color w:val="000000"/>
          <w:kern w:val="0"/>
          <w:sz w:val="32"/>
          <w:szCs w:val="32"/>
        </w:rPr>
        <w:t>下</w:t>
      </w:r>
      <w:r>
        <w:rPr>
          <w:rFonts w:ascii="仿宋_GB2312" w:hAnsi="黑体" w:eastAsia="仿宋_GB2312" w:cs="宋体"/>
          <w:color w:val="000000"/>
          <w:kern w:val="0"/>
          <w:sz w:val="32"/>
          <w:szCs w:val="32"/>
        </w:rPr>
        <w:t>图</w:t>
      </w:r>
      <w:r>
        <w:rPr>
          <w:rFonts w:hint="eastAsia" w:ascii="仿宋_GB2312" w:hAnsi="黑体" w:eastAsia="仿宋_GB2312" w:cs="宋体"/>
          <w:color w:val="000000"/>
          <w:kern w:val="0"/>
          <w:sz w:val="32"/>
          <w:szCs w:val="32"/>
        </w:rPr>
        <w:t>3-1</w:t>
      </w:r>
      <w:r>
        <w:rPr>
          <w:rFonts w:ascii="仿宋_GB2312" w:hAnsi="黑体" w:eastAsia="仿宋_GB2312" w:cs="宋体"/>
          <w:color w:val="000000"/>
          <w:kern w:val="0"/>
          <w:sz w:val="32"/>
          <w:szCs w:val="32"/>
        </w:rPr>
        <w:t>。</w:t>
      </w:r>
    </w:p>
    <w:p>
      <w:pPr>
        <w:pStyle w:val="18"/>
        <w:spacing w:line="560" w:lineRule="exact"/>
        <w:ind w:firstLine="0" w:firstLineChars="0"/>
        <w:jc w:val="center"/>
        <w:rPr>
          <w:rFonts w:ascii="仿宋_GB2312" w:hAnsi="黑体" w:eastAsia="仿宋_GB2312" w:cs="宋体"/>
          <w:color w:val="000000"/>
          <w:kern w:val="0"/>
          <w:sz w:val="24"/>
          <w:szCs w:val="24"/>
        </w:rPr>
      </w:pPr>
      <w:r>
        <w:rPr>
          <w:sz w:val="24"/>
          <w:szCs w:val="24"/>
        </w:rPr>
        <w:drawing>
          <wp:anchor distT="0" distB="0" distL="114300" distR="114300" simplePos="0" relativeHeight="251693056" behindDoc="0" locked="0" layoutInCell="1" allowOverlap="1">
            <wp:simplePos x="0" y="0"/>
            <wp:positionH relativeFrom="column">
              <wp:posOffset>-1905</wp:posOffset>
            </wp:positionH>
            <wp:positionV relativeFrom="paragraph">
              <wp:posOffset>232410</wp:posOffset>
            </wp:positionV>
            <wp:extent cx="5270500" cy="3379470"/>
            <wp:effectExtent l="9525" t="9525" r="15875" b="2095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70500" cy="3379470"/>
                    </a:xfrm>
                    <a:prstGeom prst="rect">
                      <a:avLst/>
                    </a:prstGeom>
                    <a:noFill/>
                    <a:ln>
                      <a:solidFill>
                        <a:schemeClr val="bg2"/>
                      </a:solidFill>
                    </a:ln>
                  </pic:spPr>
                </pic:pic>
              </a:graphicData>
            </a:graphic>
          </wp:anchor>
        </w:drawing>
      </w:r>
      <w:r>
        <w:rPr>
          <w:rFonts w:hint="eastAsia" w:ascii="仿宋_GB2312" w:hAnsi="黑体" w:eastAsia="仿宋_GB2312" w:cs="宋体"/>
          <w:color w:val="000000"/>
          <w:kern w:val="0"/>
          <w:sz w:val="24"/>
          <w:szCs w:val="24"/>
        </w:rPr>
        <w:t>图3-1 公司组织机构图</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2、环境管理体制和制度</w:t>
      </w:r>
    </w:p>
    <w:p>
      <w:pPr>
        <w:spacing w:line="560" w:lineRule="exact"/>
        <w:ind w:firstLine="707" w:firstLineChars="221"/>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公司安全监督部负责企业内部环境保护管理、污染防治相关工作。公司建立了完善的环保管理组织机构，成立了以公司董事长和总经理为组长的环境保护领导小组，负责企业的环境保护工作的领导与管理；成立以副总经理为组长的环境保护技术监督网，公司各部门均设有环保监督员，形成了公司环保工作的三级管理体制。</w:t>
      </w:r>
    </w:p>
    <w:p>
      <w:pPr>
        <w:spacing w:line="560" w:lineRule="exact"/>
        <w:ind w:firstLine="707" w:firstLineChars="221"/>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我公司自觉履行保护环境的社会责任，项目建设前期依法执行了环境影响评价制度，建设过程中落实环境保护“三同时”制度，并通过了项目的竣工环保验收工作。</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3、环保教育及培训情况</w:t>
      </w:r>
    </w:p>
    <w:p>
      <w:pPr>
        <w:ind w:firstLine="640" w:firstLineChars="20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公司重视对全体员工的环保教育与环保培训工作。结合公司实际情况，制定了由公司环保培训计划，定期组织环保管理人员、技术人员、检修人员学习国家相关环保法律法规、环保技术规范文件及内部环境管理文件，开展环保专业技术培训和应急演练。治污设施操作人员定期进行培训并持证上岗。公司认真学习全国生态环境保护大会精神，积极派员参加各级环保行政主管部门组织的重点排污单位自动监控设备运行管理业务培训、碳排放权交易掊训等环保管理培训。</w:t>
      </w:r>
    </w:p>
    <w:p>
      <w:pPr>
        <w:spacing w:line="560" w:lineRule="exact"/>
        <w:rPr>
          <w:rFonts w:ascii="仿宋" w:hAnsi="仿宋" w:eastAsia="仿宋"/>
          <w:sz w:val="28"/>
          <w:szCs w:val="28"/>
        </w:rPr>
      </w:pPr>
      <w:r>
        <w:rPr>
          <w:rFonts w:hint="eastAsia" w:ascii="楷体_GB2312" w:hAnsi="黑体" w:eastAsia="楷体_GB2312" w:cs="宋体"/>
          <w:color w:val="000000"/>
          <w:kern w:val="0"/>
          <w:sz w:val="32"/>
          <w:szCs w:val="32"/>
        </w:rPr>
        <w:t xml:space="preserve">㈡ 环境信息公开及交流情况 </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1、环境信息公开方式</w:t>
      </w:r>
    </w:p>
    <w:p>
      <w:pPr>
        <w:ind w:firstLine="640" w:firstLineChars="20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皖能股份公司建有互联网网站，公司的年度环境报告及工程竣工环境保护验收及各项单项验收等相关环境信息及时在网站上公开发布，公司在宿州市生态环境局的重点企业信息公开平台上及时向社会公告公司的环境信息。</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2、与利益相关者进行环境信息交流情况</w:t>
      </w:r>
    </w:p>
    <w:p>
      <w:pPr>
        <w:ind w:firstLine="640" w:firstLineChars="20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为创建环境友好型企业，公司管理层经常以座谈、邀请来公司考察、外出调研、上门征求意见、电话征询等各种方式同业务单位、客户、行业主管部门、同行业先进企业、环保科研单位、环保行政主管部门进行环境保护信息咨询和交流，多方听取收集意见，不断提高和改善企业的环境保护管理水平。</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 、企业与社会合作开展环保活动的情况</w:t>
      </w:r>
    </w:p>
    <w:p>
      <w:pPr>
        <w:ind w:firstLine="640" w:firstLineChars="20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为加强宣传沟通，让周边群众更多了解企业生产情况，公司将积极接待周边群众、学生团体等社会人员组织亲临现场实地参观企业，了解公司生产工艺流程和环保设施运行情况。</w:t>
      </w:r>
    </w:p>
    <w:p>
      <w:pPr>
        <w:rPr>
          <w:rFonts w:ascii="宋体" w:hAnsi="宋体" w:eastAsia="宋体"/>
          <w:color w:val="000000"/>
          <w:sz w:val="24"/>
        </w:rPr>
      </w:pPr>
      <w:r>
        <w:rPr>
          <w:rFonts w:hint="eastAsia" w:ascii="仿宋_GB2312" w:hAnsi="黑体" w:eastAsia="仿宋_GB2312" w:cs="宋体"/>
          <w:color w:val="000000"/>
          <w:kern w:val="0"/>
          <w:sz w:val="32"/>
          <w:szCs w:val="32"/>
        </w:rPr>
        <w:t>4、公众对企业环境信息公开的评价</w:t>
      </w:r>
    </w:p>
    <w:p>
      <w:pPr>
        <w:ind w:firstLine="640" w:firstLineChars="200"/>
        <w:jc w:val="left"/>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公司制定了环保信息公开制度，并定期在企业宣传栏和当地政府公告栏发布企业环境信息，主动接受环保主管部门和社会的监督</w:t>
      </w:r>
      <w:r>
        <w:rPr>
          <w:rFonts w:hint="eastAsia" w:ascii="仿宋_GB2312" w:hAnsi="黑体" w:eastAsia="仿宋_GB2312" w:cs="宋体"/>
          <w:color w:val="000000"/>
          <w:kern w:val="0"/>
          <w:sz w:val="32"/>
          <w:szCs w:val="32"/>
        </w:rPr>
        <w:t>。工程竣工环境保护验收公众参与调查，100%被调查团体对公司的环境保护工作表示满意或较满意，无团体及个人表示不满意。</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㈢ 相关法律法规执行情况</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1、最近3年生产经营发生重大污染事故及存在的环境违法行为情况（包括受到环境行政处罚或者处理情况）</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公司建立健全多项企业内部环保管理制度，严格执行落实，虚心接受各级环保管理部门的监督、指导、帮助，自2018年机组投产以来至今未发生环境污染事故，未受到环保行政管理部门的处罚。</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2、环境检测及评价</w:t>
      </w:r>
    </w:p>
    <w:p>
      <w:pPr>
        <w:ind w:firstLine="707" w:firstLineChars="221"/>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2019年公司积极配合市、区环保部门委托的监督性监测工作，各类污染物达标排放。按照企业环保信息公开原则，公司定期均委托有资质监测单位（安徽创新检测技术有限公司）进行废水、废气、无组织排放、厂界噪声等项目检测，全年污染物检测结果均达标。</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3、企业生产工艺、设备、产品与国家产业政策的符合情况。</w:t>
      </w:r>
    </w:p>
    <w:p>
      <w:pPr>
        <w:rPr>
          <w:rFonts w:ascii="仿宋_GB2312" w:hAnsi="黑体" w:eastAsia="仿宋_GB2312" w:cs="宋体"/>
          <w:color w:val="000000"/>
          <w:kern w:val="0"/>
          <w:sz w:val="32"/>
          <w:szCs w:val="32"/>
        </w:rPr>
        <w:sectPr>
          <w:pgSz w:w="11906" w:h="16838"/>
          <w:pgMar w:top="1440" w:right="1800" w:bottom="1440" w:left="1800" w:header="851" w:footer="992" w:gutter="0"/>
          <w:cols w:space="425" w:num="1"/>
          <w:docGrid w:type="lines" w:linePitch="312" w:charSpace="0"/>
        </w:sectPr>
      </w:pPr>
      <w:r>
        <w:rPr>
          <w:rFonts w:hint="eastAsia" w:ascii="仿宋_GB2312" w:hAnsi="黑体" w:eastAsia="仿宋_GB2312" w:cs="宋体"/>
          <w:color w:val="000000"/>
          <w:kern w:val="0"/>
          <w:sz w:val="32"/>
          <w:szCs w:val="32"/>
        </w:rPr>
        <w:t>3.1</w:t>
      </w:r>
      <w:r>
        <w:rPr>
          <w:rFonts w:ascii="仿宋_GB2312" w:hAnsi="黑体" w:eastAsia="仿宋_GB2312" w:cs="宋体"/>
          <w:color w:val="000000"/>
          <w:kern w:val="0"/>
          <w:sz w:val="32"/>
          <w:szCs w:val="32"/>
        </w:rPr>
        <w:t>生产工艺</w:t>
      </w:r>
      <w:r>
        <w:rPr>
          <w:rFonts w:hint="eastAsia" w:ascii="仿宋_GB2312" w:hAnsi="黑体" w:eastAsia="仿宋_GB2312" w:cs="宋体"/>
          <w:color w:val="000000"/>
          <w:kern w:val="0"/>
          <w:sz w:val="32"/>
          <w:szCs w:val="32"/>
        </w:rPr>
        <w:t>流程图</w:t>
      </w:r>
    </w:p>
    <w:p>
      <w:pPr>
        <w:widowControl/>
        <w:shd w:val="clear"/>
        <w:jc w:val="center"/>
        <w:rPr>
          <w:rFonts w:ascii="仿宋" w:hAnsi="仿宋"/>
          <w:sz w:val="28"/>
          <w:szCs w:val="28"/>
          <w:highlight w:val="none"/>
        </w:rPr>
        <w:sectPr>
          <w:pgSz w:w="16838" w:h="11906" w:orient="landscape"/>
          <w:pgMar w:top="1560" w:right="1440" w:bottom="1560" w:left="1440" w:header="851" w:footer="992" w:gutter="0"/>
          <w:cols w:space="425" w:num="1"/>
          <w:docGrid w:type="lines" w:linePitch="312" w:charSpace="0"/>
        </w:sectPr>
      </w:pPr>
      <w:r>
        <w:rPr>
          <w:rFonts w:hint="eastAsia" w:ascii="Times New Roman" w:hAnsi="Times New Roman" w:eastAsia="仿宋_GB2312"/>
          <w:b/>
          <w:bCs/>
          <w:sz w:val="44"/>
          <w:szCs w:val="44"/>
          <w:highlight w:val="none"/>
        </w:rPr>
        <w:drawing>
          <wp:anchor distT="0" distB="0" distL="114300" distR="114300" simplePos="0" relativeHeight="251743232" behindDoc="0" locked="0" layoutInCell="1" allowOverlap="1">
            <wp:simplePos x="0" y="0"/>
            <wp:positionH relativeFrom="column">
              <wp:posOffset>381635</wp:posOffset>
            </wp:positionH>
            <wp:positionV relativeFrom="paragraph">
              <wp:posOffset>-10795</wp:posOffset>
            </wp:positionV>
            <wp:extent cx="8115300" cy="5181600"/>
            <wp:effectExtent l="9525" t="9525" r="9525" b="9525"/>
            <wp:wrapTopAndBottom/>
            <wp:docPr id="3" name="图片 8" descr="钱营孜职业病防护设施设计（资料性附件含图）2016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钱营孜职业病防护设施设计（资料性附件含图）20160505"/>
                    <pic:cNvPicPr>
                      <a:picLocks noChangeAspect="1" noChangeArrowheads="1"/>
                    </pic:cNvPicPr>
                  </pic:nvPicPr>
                  <pic:blipFill>
                    <a:blip r:embed="rId6"/>
                    <a:srcRect/>
                    <a:stretch>
                      <a:fillRect/>
                    </a:stretch>
                  </pic:blipFill>
                  <pic:spPr>
                    <a:xfrm>
                      <a:off x="0" y="0"/>
                      <a:ext cx="8115300" cy="5181600"/>
                    </a:xfrm>
                    <a:prstGeom prst="rect">
                      <a:avLst/>
                    </a:prstGeom>
                    <a:noFill/>
                    <a:ln w="9525">
                      <a:solidFill>
                        <a:schemeClr val="tx1"/>
                      </a:solidFill>
                      <a:miter lim="800000"/>
                      <a:headEnd/>
                      <a:tailEnd/>
                    </a:ln>
                    <a:effectLst/>
                  </pic:spPr>
                </pic:pic>
              </a:graphicData>
            </a:graphic>
          </wp:anchor>
        </w:drawing>
      </w:r>
      <w:r>
        <w:rPr>
          <w:rFonts w:hint="eastAsia" w:ascii="仿宋" w:hAnsi="仿宋"/>
          <w:sz w:val="28"/>
          <w:szCs w:val="28"/>
          <w:highlight w:val="none"/>
        </w:rPr>
        <w:t>图3-2 生产工艺流程图</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 xml:space="preserve">3.2 </w:t>
      </w:r>
      <w:r>
        <w:rPr>
          <w:rFonts w:ascii="仿宋_GB2312" w:hAnsi="黑体" w:eastAsia="仿宋_GB2312" w:cs="宋体"/>
          <w:color w:val="000000"/>
          <w:kern w:val="0"/>
          <w:sz w:val="32"/>
          <w:szCs w:val="32"/>
        </w:rPr>
        <w:t>主要生产工艺</w:t>
      </w:r>
    </w:p>
    <w:p>
      <w:pPr>
        <w:ind w:firstLine="707" w:firstLineChars="221"/>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燃料煤给入锅炉炉膛燃烧蒸发水，水蒸汽推动汽轮发电机发电，电能接入配电装置后送出；燃煤烟气经脱硝、除尘、脱硫设施净化后由烟囱排入大气；干灰采用“灰渣分除、粗细分储”系统，在灰渣综合利用受阻的情况下，运至灰库（罐）堆放；生产工艺用水取自宿州城南污水处理厂中水，冷却系统采用带自然通风冷却塔的二次循环供水系统。</w:t>
      </w: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3.3 废气治理</w:t>
      </w:r>
    </w:p>
    <w:p>
      <w:pPr>
        <w:ind w:firstLine="566" w:firstLineChars="177"/>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公司为燃煤火力发电厂，锅炉燃烧后的废气的主要污染物为氮氧化物、烟尘、二氧化硫，公司在大气污染治理配套建设脱硫系统、脱硝系统、除尘系统，同步安装烟气连续监测装置（CEMS），并实现与地方环境保护主管部门联网，并直接传输数据，满足环保部门的监督要求。</w:t>
      </w:r>
    </w:p>
    <w:p>
      <w:pPr>
        <w:ind w:firstLine="566" w:firstLineChars="177"/>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公司脱硝系统采用低氮燃烧技术，从燃烧源头控制氮氧化物产生，采用选择性非催化还原法（S</w:t>
      </w:r>
      <w:r>
        <w:rPr>
          <w:rFonts w:hint="eastAsia" w:ascii="仿宋_GB2312" w:hAnsi="黑体" w:eastAsia="仿宋_GB2312" w:cs="宋体"/>
          <w:color w:val="000000"/>
          <w:kern w:val="0"/>
          <w:sz w:val="32"/>
          <w:szCs w:val="32"/>
          <w:lang w:val="en-US" w:eastAsia="zh-CN"/>
        </w:rPr>
        <w:t>N</w:t>
      </w:r>
      <w:r>
        <w:rPr>
          <w:rFonts w:hint="eastAsia" w:ascii="仿宋_GB2312" w:hAnsi="黑体" w:eastAsia="仿宋_GB2312" w:cs="宋体"/>
          <w:color w:val="000000"/>
          <w:kern w:val="0"/>
          <w:sz w:val="32"/>
          <w:szCs w:val="32"/>
        </w:rPr>
        <w:t>CR）脱硝工艺，满足不断升级的环保排放要求。锅</w:t>
      </w:r>
      <w:r>
        <w:rPr>
          <w:rFonts w:hint="eastAsia" w:ascii="仿宋_GB2312" w:hAnsi="黑体" w:eastAsia="仿宋_GB2312" w:cs="宋体"/>
          <w:color w:val="000000"/>
          <w:kern w:val="0"/>
          <w:sz w:val="32"/>
          <w:szCs w:val="32"/>
          <w:highlight w:val="none"/>
        </w:rPr>
        <w:t>炉配套电袋复合式除尘器，静电除尘器为干式、卧式配高频电源静电（预）除尘器与超净布袋除尘器，提高了除尘效率</w:t>
      </w:r>
      <w:r>
        <w:rPr>
          <w:rFonts w:hint="eastAsia" w:ascii="仿宋_GB2312" w:hAnsi="黑体" w:eastAsia="仿宋_GB2312" w:cs="宋体"/>
          <w:color w:val="000000"/>
          <w:kern w:val="0"/>
          <w:sz w:val="32"/>
          <w:szCs w:val="32"/>
        </w:rPr>
        <w:t>。烟气脱硫系统，采用石灰石－石膏湿法脱硫方式，利用石灰石浆液作为脱硫剂，在吸收塔与烟气中的二氧化硫充分反应，</w:t>
      </w:r>
      <w:r>
        <w:rPr>
          <w:rFonts w:ascii="仿宋_GB2312" w:hAnsi="黑体" w:eastAsia="仿宋_GB2312" w:cs="宋体"/>
          <w:color w:val="000000"/>
          <w:kern w:val="0"/>
          <w:sz w:val="32"/>
          <w:szCs w:val="32"/>
        </w:rPr>
        <w:t>最后烟气通过高2</w:t>
      </w:r>
      <w:r>
        <w:rPr>
          <w:rFonts w:hint="eastAsia" w:ascii="仿宋_GB2312" w:hAnsi="黑体" w:eastAsia="仿宋_GB2312" w:cs="宋体"/>
          <w:color w:val="000000"/>
          <w:kern w:val="0"/>
          <w:sz w:val="32"/>
          <w:szCs w:val="32"/>
        </w:rPr>
        <w:t>1</w:t>
      </w:r>
      <w:r>
        <w:rPr>
          <w:rFonts w:ascii="仿宋_GB2312" w:hAnsi="黑体" w:eastAsia="仿宋_GB2312" w:cs="宋体"/>
          <w:color w:val="000000"/>
          <w:kern w:val="0"/>
          <w:sz w:val="32"/>
          <w:szCs w:val="32"/>
        </w:rPr>
        <w:t>0m的烟囱排放</w:t>
      </w:r>
      <w:r>
        <w:rPr>
          <w:rFonts w:hint="eastAsia" w:ascii="仿宋_GB2312" w:hAnsi="黑体" w:eastAsia="仿宋_GB2312" w:cs="宋体"/>
          <w:color w:val="000000"/>
          <w:kern w:val="0"/>
          <w:sz w:val="32"/>
          <w:szCs w:val="32"/>
        </w:rPr>
        <w:t>。</w:t>
      </w:r>
    </w:p>
    <w:p>
      <w:pPr>
        <w:ind w:firstLine="640" w:firstLineChars="20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废气处理装置见如下</w:t>
      </w:r>
      <w:r>
        <w:rPr>
          <w:rFonts w:ascii="仿宋_GB2312" w:hAnsi="黑体" w:eastAsia="仿宋_GB2312" w:cs="宋体"/>
          <w:color w:val="000000"/>
          <w:kern w:val="0"/>
          <w:sz w:val="32"/>
          <w:szCs w:val="32"/>
        </w:rPr>
        <w:t>脱硝</w:t>
      </w:r>
      <w:r>
        <w:rPr>
          <w:rFonts w:hint="eastAsia" w:ascii="仿宋_GB2312" w:hAnsi="黑体" w:eastAsia="仿宋_GB2312" w:cs="宋体"/>
          <w:color w:val="000000"/>
          <w:kern w:val="0"/>
          <w:sz w:val="32"/>
          <w:szCs w:val="32"/>
        </w:rPr>
        <w:t>、</w:t>
      </w:r>
      <w:r>
        <w:rPr>
          <w:rFonts w:ascii="仿宋_GB2312" w:hAnsi="黑体" w:eastAsia="仿宋_GB2312" w:cs="宋体"/>
          <w:color w:val="000000"/>
          <w:kern w:val="0"/>
          <w:sz w:val="32"/>
          <w:szCs w:val="32"/>
        </w:rPr>
        <w:t>脱硫工艺流程图</w:t>
      </w:r>
      <w:r>
        <w:rPr>
          <w:rFonts w:hint="eastAsia" w:ascii="仿宋_GB2312" w:hAnsi="黑体" w:eastAsia="仿宋_GB2312" w:cs="宋体"/>
          <w:color w:val="000000"/>
          <w:kern w:val="0"/>
          <w:sz w:val="32"/>
          <w:szCs w:val="32"/>
        </w:rPr>
        <w:t>。</w:t>
      </w:r>
    </w:p>
    <w:p>
      <w:pPr>
        <w:jc w:val="center"/>
      </w:pPr>
      <w:r>
        <w:rPr>
          <w:rFonts w:hint="eastAsia" w:ascii="仿宋" w:hAnsi="仿宋" w:eastAsia="仿宋" w:cs="仿宋"/>
          <w:sz w:val="28"/>
          <w:szCs w:val="28"/>
        </w:rPr>
        <w:t xml:space="preserve">图3-3 </w:t>
      </w:r>
      <w:r>
        <w:rPr>
          <w:rFonts w:hint="eastAsia" w:ascii="仿宋" w:hAnsi="仿宋" w:eastAsia="仿宋" w:cs="仿宋"/>
          <w:sz w:val="28"/>
          <w:szCs w:val="28"/>
          <w:lang w:val="en-US" w:eastAsia="zh-CN"/>
        </w:rPr>
        <w:t>SNCR</w:t>
      </w:r>
      <w:r>
        <w:rPr>
          <w:rFonts w:hint="eastAsia" w:ascii="仿宋" w:hAnsi="仿宋" w:eastAsia="仿宋" w:cs="仿宋"/>
          <w:color w:val="000000"/>
          <w:kern w:val="0"/>
          <w:sz w:val="28"/>
          <w:szCs w:val="28"/>
        </w:rPr>
        <w:t>脱硝工艺流程图</w:t>
      </w:r>
      <w:r>
        <w:drawing>
          <wp:anchor distT="0" distB="0" distL="114300" distR="114300" simplePos="0" relativeHeight="251696128" behindDoc="0" locked="0" layoutInCell="1" allowOverlap="1">
            <wp:simplePos x="0" y="0"/>
            <wp:positionH relativeFrom="column">
              <wp:posOffset>0</wp:posOffset>
            </wp:positionH>
            <wp:positionV relativeFrom="paragraph">
              <wp:posOffset>89535</wp:posOffset>
            </wp:positionV>
            <wp:extent cx="5269865" cy="2876550"/>
            <wp:effectExtent l="0" t="0" r="6985" b="0"/>
            <wp:wrapTopAndBottom/>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7"/>
                    <a:stretch>
                      <a:fillRect/>
                    </a:stretch>
                  </pic:blipFill>
                  <pic:spPr>
                    <a:xfrm>
                      <a:off x="0" y="0"/>
                      <a:ext cx="5269865" cy="2876550"/>
                    </a:xfrm>
                    <a:prstGeom prst="rect">
                      <a:avLst/>
                    </a:prstGeom>
                    <a:noFill/>
                    <a:ln>
                      <a:noFill/>
                    </a:ln>
                  </pic:spPr>
                </pic:pic>
              </a:graphicData>
            </a:graphic>
          </wp:anchor>
        </w:drawing>
      </w:r>
    </w:p>
    <w:p>
      <w:pPr>
        <w:jc w:val="center"/>
        <w:rPr>
          <w:rFonts w:ascii="仿宋_GB2312" w:hAnsi="黑体" w:eastAsia="仿宋_GB2312" w:cs="宋体"/>
          <w:color w:val="000000"/>
          <w:kern w:val="0"/>
          <w:sz w:val="32"/>
          <w:szCs w:val="32"/>
        </w:rPr>
      </w:pPr>
      <w:r>
        <w:drawing>
          <wp:anchor distT="0" distB="0" distL="114300" distR="114300" simplePos="0" relativeHeight="251695104" behindDoc="0" locked="0" layoutInCell="1" allowOverlap="1">
            <wp:simplePos x="0" y="0"/>
            <wp:positionH relativeFrom="column">
              <wp:posOffset>36195</wp:posOffset>
            </wp:positionH>
            <wp:positionV relativeFrom="paragraph">
              <wp:posOffset>30480</wp:posOffset>
            </wp:positionV>
            <wp:extent cx="5370830" cy="3504565"/>
            <wp:effectExtent l="0" t="0" r="1270" b="635"/>
            <wp:wrapTopAndBottom/>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8"/>
                    <a:stretch>
                      <a:fillRect/>
                    </a:stretch>
                  </pic:blipFill>
                  <pic:spPr>
                    <a:xfrm>
                      <a:off x="0" y="0"/>
                      <a:ext cx="5370830" cy="3504565"/>
                    </a:xfrm>
                    <a:prstGeom prst="rect">
                      <a:avLst/>
                    </a:prstGeom>
                    <a:noFill/>
                    <a:ln>
                      <a:noFill/>
                    </a:ln>
                  </pic:spPr>
                </pic:pic>
              </a:graphicData>
            </a:graphic>
          </wp:anchor>
        </w:drawing>
      </w:r>
    </w:p>
    <w:p>
      <w:pPr>
        <w:jc w:val="center"/>
        <w:rPr>
          <w:rFonts w:ascii="仿宋_GB2312" w:hAnsi="黑体" w:eastAsia="仿宋_GB2312" w:cs="宋体"/>
          <w:color w:val="000000"/>
          <w:kern w:val="0"/>
          <w:sz w:val="32"/>
          <w:szCs w:val="32"/>
        </w:rPr>
      </w:pPr>
      <w:r>
        <w:rPr>
          <w:rFonts w:hint="eastAsia" w:ascii="仿宋" w:hAnsi="仿宋" w:eastAsia="仿宋" w:cs="仿宋"/>
          <w:sz w:val="28"/>
          <w:szCs w:val="28"/>
        </w:rPr>
        <w:t xml:space="preserve">图3-4 </w:t>
      </w:r>
      <w:r>
        <w:rPr>
          <w:rFonts w:hint="eastAsia" w:ascii="仿宋" w:hAnsi="仿宋" w:eastAsia="仿宋" w:cs="仿宋"/>
          <w:sz w:val="28"/>
          <w:szCs w:val="28"/>
          <w:lang w:val="en-US" w:eastAsia="zh-CN"/>
        </w:rPr>
        <w:t>石灰石-石膏湿法</w:t>
      </w:r>
      <w:r>
        <w:rPr>
          <w:rFonts w:hint="eastAsia" w:ascii="仿宋" w:hAnsi="仿宋" w:eastAsia="仿宋" w:cs="仿宋"/>
          <w:color w:val="000000"/>
          <w:kern w:val="0"/>
          <w:sz w:val="28"/>
          <w:szCs w:val="28"/>
        </w:rPr>
        <w:t>脱硫工艺流程图</w:t>
      </w:r>
    </w:p>
    <w:p>
      <w:pPr>
        <w:ind w:firstLine="566" w:firstLineChars="177"/>
        <w:rPr>
          <w:rFonts w:ascii="仿宋_GB2312" w:hAnsi="黑体" w:eastAsia="仿宋_GB2312" w:cs="宋体"/>
          <w:color w:val="000000"/>
          <w:kern w:val="0"/>
          <w:sz w:val="32"/>
          <w:szCs w:val="32"/>
        </w:rPr>
        <w:sectPr>
          <w:pgSz w:w="11906" w:h="16838"/>
          <w:pgMar w:top="1440" w:right="1800" w:bottom="1440" w:left="1800" w:header="851" w:footer="992" w:gutter="0"/>
          <w:cols w:space="425" w:num="1"/>
          <w:docGrid w:type="lines" w:linePitch="312" w:charSpace="0"/>
        </w:sectPr>
      </w:pPr>
      <w:r>
        <w:rPr>
          <w:rFonts w:hint="eastAsia" w:ascii="仿宋_GB2312" w:hAnsi="黑体" w:eastAsia="仿宋_GB2312" w:cs="宋体"/>
          <w:color w:val="000000"/>
          <w:kern w:val="0"/>
          <w:sz w:val="32"/>
          <w:szCs w:val="32"/>
        </w:rPr>
        <w:t>经环境监测单位监测和烟气在线连续监测装置（C</w:t>
      </w:r>
      <w:r>
        <w:rPr>
          <w:rFonts w:ascii="仿宋_GB2312" w:hAnsi="黑体" w:eastAsia="仿宋_GB2312" w:cs="宋体"/>
          <w:color w:val="000000"/>
          <w:kern w:val="0"/>
          <w:sz w:val="32"/>
          <w:szCs w:val="32"/>
        </w:rPr>
        <w:t>EMS</w:t>
      </w:r>
      <w:r>
        <w:rPr>
          <w:rFonts w:hint="eastAsia" w:ascii="仿宋_GB2312" w:hAnsi="黑体" w:eastAsia="仿宋_GB2312" w:cs="宋体"/>
          <w:color w:val="000000"/>
          <w:kern w:val="0"/>
          <w:sz w:val="32"/>
          <w:szCs w:val="32"/>
        </w:rPr>
        <w:t>），我公司烟气排放浓度达到《火电厂大气排放标准》（GB13223-2011）和超低排放的限值要求，废气排放达标。</w:t>
      </w:r>
    </w:p>
    <w:p>
      <w:pPr>
        <w:ind w:firstLine="566" w:firstLineChars="177"/>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全年烟气排放监测情况表</w:t>
      </w:r>
    </w:p>
    <w:tbl>
      <w:tblPr>
        <w:tblStyle w:val="10"/>
        <w:tblW w:w="15950" w:type="dxa"/>
        <w:tblInd w:w="-728" w:type="dxa"/>
        <w:tblLayout w:type="fixed"/>
        <w:tblCellMar>
          <w:top w:w="0" w:type="dxa"/>
          <w:left w:w="108" w:type="dxa"/>
          <w:bottom w:w="0" w:type="dxa"/>
          <w:right w:w="108" w:type="dxa"/>
        </w:tblCellMar>
      </w:tblPr>
      <w:tblGrid>
        <w:gridCol w:w="2694"/>
        <w:gridCol w:w="1119"/>
        <w:gridCol w:w="1418"/>
        <w:gridCol w:w="1276"/>
        <w:gridCol w:w="850"/>
        <w:gridCol w:w="1418"/>
        <w:gridCol w:w="1316"/>
        <w:gridCol w:w="1206"/>
        <w:gridCol w:w="1206"/>
        <w:gridCol w:w="1536"/>
        <w:gridCol w:w="831"/>
        <w:gridCol w:w="1080"/>
      </w:tblGrid>
      <w:tr>
        <w:tblPrEx>
          <w:tblLayout w:type="fixed"/>
          <w:tblCellMar>
            <w:top w:w="0" w:type="dxa"/>
            <w:left w:w="108" w:type="dxa"/>
            <w:bottom w:w="0" w:type="dxa"/>
            <w:right w:w="108" w:type="dxa"/>
          </w:tblCellMar>
        </w:tblPrEx>
        <w:trPr>
          <w:trHeight w:val="270" w:hRule="atLeast"/>
        </w:trPr>
        <w:tc>
          <w:tcPr>
            <w:tcW w:w="2694"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企业名称</w:t>
            </w:r>
          </w:p>
        </w:tc>
        <w:tc>
          <w:tcPr>
            <w:tcW w:w="1119"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数据类型</w:t>
            </w:r>
          </w:p>
        </w:tc>
        <w:tc>
          <w:tcPr>
            <w:tcW w:w="1418"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监测站点</w:t>
            </w:r>
          </w:p>
        </w:tc>
        <w:tc>
          <w:tcPr>
            <w:tcW w:w="1276"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污染物名称</w:t>
            </w:r>
          </w:p>
        </w:tc>
        <w:tc>
          <w:tcPr>
            <w:tcW w:w="85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年份</w:t>
            </w:r>
          </w:p>
        </w:tc>
        <w:tc>
          <w:tcPr>
            <w:tcW w:w="1418"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季度</w:t>
            </w:r>
          </w:p>
        </w:tc>
        <w:tc>
          <w:tcPr>
            <w:tcW w:w="1316"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监测时间</w:t>
            </w:r>
          </w:p>
        </w:tc>
        <w:tc>
          <w:tcPr>
            <w:tcW w:w="1206"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监测值（mg/m3）</w:t>
            </w:r>
          </w:p>
        </w:tc>
        <w:tc>
          <w:tcPr>
            <w:tcW w:w="1206"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标准限值（mg/m3）</w:t>
            </w:r>
          </w:p>
        </w:tc>
        <w:tc>
          <w:tcPr>
            <w:tcW w:w="1536"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执行标准</w:t>
            </w:r>
          </w:p>
        </w:tc>
        <w:tc>
          <w:tcPr>
            <w:tcW w:w="83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 是否达标</w:t>
            </w:r>
          </w:p>
        </w:tc>
        <w:tc>
          <w:tcPr>
            <w:tcW w:w="108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超标倍数</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烟尘</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第一季度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2019/3/07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5.0</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二氧化硫</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第一季度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2019/3/07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11.0</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氮氧化物</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第一季度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2019/3/07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32.0</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6B13223-2011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烟尘</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第二季度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2019/6/27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6.0</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二氧化硫</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第二季度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2019/6/27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15.0 </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氮氧化物</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第二季度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2019/6/27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23.0 </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烟尘</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第二季度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2019/6/28</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4.6</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二氧化硫</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第二季度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2019/6/28</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17.0 </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氮氧化物</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第二季度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2019/6/28</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33.0</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烟尘</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第三季度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2019/9/2</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4.9</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二氧化硫</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第三季度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2019/8/21</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8.8</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氮氧化物</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第三季度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2019/8/21</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24.0</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烟尘</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第三季度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2019/9/27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5.3</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二氧化硫</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第三季度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2019/9/27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6.2</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氮氧化物</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第三季度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2019/9/27</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23.8</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烟尘</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第四季度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2019/11/26</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3.3</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二氧化硫</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第四季度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2019/12/23</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5.4</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氮氧化物</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第四季度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2019/12/23</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31.3</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烟尘</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第四季度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2019/12/24</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1.2</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30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二氧化硫</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第四季度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2019/12/24</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4.5</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r>
        <w:tblPrEx>
          <w:tblLayout w:type="fixed"/>
          <w:tblCellMar>
            <w:top w:w="0" w:type="dxa"/>
            <w:left w:w="108" w:type="dxa"/>
            <w:bottom w:w="0" w:type="dxa"/>
            <w:right w:w="108" w:type="dxa"/>
          </w:tblCellMar>
        </w:tblPrEx>
        <w:trPr>
          <w:trHeight w:val="270" w:hRule="atLeast"/>
        </w:trPr>
        <w:tc>
          <w:tcPr>
            <w:tcW w:w="2694"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安徽钱营孜发电有限公司</w:t>
            </w:r>
          </w:p>
        </w:tc>
        <w:tc>
          <w:tcPr>
            <w:tcW w:w="1119"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大气环境</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#2机组废气排放口</w:t>
            </w:r>
          </w:p>
        </w:tc>
        <w:tc>
          <w:tcPr>
            <w:tcW w:w="127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氮氧化物</w:t>
            </w:r>
          </w:p>
        </w:tc>
        <w:tc>
          <w:tcPr>
            <w:tcW w:w="85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w:t>
            </w:r>
          </w:p>
        </w:tc>
        <w:tc>
          <w:tcPr>
            <w:tcW w:w="141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第四季度</w:t>
            </w:r>
          </w:p>
        </w:tc>
        <w:tc>
          <w:tcPr>
            <w:tcW w:w="131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2019/12/24</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 xml:space="preserve">30.5 </w:t>
            </w:r>
          </w:p>
        </w:tc>
        <w:tc>
          <w:tcPr>
            <w:tcW w:w="120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200</w:t>
            </w:r>
          </w:p>
        </w:tc>
        <w:tc>
          <w:tcPr>
            <w:tcW w:w="1536"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GB13223-2011</w:t>
            </w:r>
          </w:p>
        </w:tc>
        <w:tc>
          <w:tcPr>
            <w:tcW w:w="831"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是</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w:t>
            </w:r>
          </w:p>
        </w:tc>
      </w:tr>
    </w:tbl>
    <w:p>
      <w:pPr>
        <w:spacing w:line="560" w:lineRule="exact"/>
        <w:jc w:val="center"/>
        <w:rPr>
          <w:rFonts w:ascii="仿宋" w:hAnsi="仿宋" w:eastAsia="仿宋"/>
          <w:sz w:val="28"/>
          <w:szCs w:val="28"/>
        </w:rPr>
      </w:pPr>
    </w:p>
    <w:p>
      <w:pPr>
        <w:spacing w:line="560" w:lineRule="exact"/>
        <w:jc w:val="center"/>
        <w:rPr>
          <w:rFonts w:ascii="仿宋" w:hAnsi="仿宋" w:eastAsia="仿宋"/>
          <w:sz w:val="28"/>
          <w:szCs w:val="28"/>
        </w:rPr>
      </w:pPr>
    </w:p>
    <w:p>
      <w:pPr>
        <w:rPr>
          <w:rFonts w:ascii="仿宋_GB2312" w:hAnsi="黑体" w:eastAsia="仿宋_GB2312" w:cs="宋体"/>
          <w:color w:val="000000"/>
          <w:kern w:val="0"/>
          <w:sz w:val="32"/>
          <w:szCs w:val="32"/>
        </w:rPr>
        <w:sectPr>
          <w:pgSz w:w="16838" w:h="11906" w:orient="landscape"/>
          <w:pgMar w:top="1800" w:right="1440" w:bottom="1800" w:left="1440" w:header="851" w:footer="992" w:gutter="0"/>
          <w:cols w:space="425" w:num="1"/>
          <w:docGrid w:type="lines" w:linePitch="312" w:charSpace="0"/>
        </w:sectPr>
      </w:pPr>
    </w:p>
    <w:p>
      <w:pP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3.4废水处理</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我公司合理利用水资源，配套建设了工业废水处理站、生活污水处理站、脱硫废水系统等设施，各类废水先分散收集处理，最后再集中处理，处理后的废水全部回用，用于回用至原水池、煤泥调湿、绿化等，从而提高废水的重复利用率。</w:t>
      </w:r>
    </w:p>
    <w:p>
      <w:pPr>
        <w:numPr>
          <w:ilvl w:val="0"/>
          <w:numId w:val="2"/>
        </w:numPr>
        <w:spacing w:line="560" w:lineRule="exact"/>
        <w:ind w:firstLine="640" w:firstLineChars="20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工业废水处理系统</w:t>
      </w:r>
    </w:p>
    <w:p>
      <w:pPr>
        <w:spacing w:line="560" w:lineRule="exact"/>
        <w:ind w:firstLine="640" w:firstLineChars="20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设置1套50m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/h工业废水集中处理设施，将全厂的工业废水收集后集中处理后回用于生产。工业废水处理站共设置废水贮存池3×1000m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＋事故水池1×1000m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，具有相互倒池功能。</w:t>
      </w:r>
    </w:p>
    <w:p>
      <w:pPr>
        <w:spacing w:line="560" w:lineRule="exact"/>
        <w:ind w:firstLine="560" w:firstLineChars="200"/>
        <w:jc w:val="center"/>
        <w:rPr>
          <w:rFonts w:ascii="仿宋_GB2312" w:hAnsi="黑体" w:eastAsia="仿宋_GB2312" w:cs="宋体"/>
          <w:color w:val="000000"/>
          <w:kern w:val="0"/>
          <w:sz w:val="28"/>
          <w:szCs w:val="28"/>
        </w:rPr>
      </w:pPr>
      <w:r>
        <w:rPr>
          <w:rFonts w:hint="eastAsia" w:ascii="仿宋_GB2312" w:hAnsi="黑体" w:eastAsia="仿宋_GB2312" w:cs="宋体"/>
          <w:color w:val="000000"/>
          <w:kern w:val="0"/>
          <w:sz w:val="28"/>
          <w:szCs w:val="28"/>
        </w:rPr>
        <w:t>图3-5 工业废水处理工艺流程</w:t>
      </w:r>
    </w:p>
    <w:p>
      <w:pPr>
        <w:numPr>
          <w:ilvl w:val="0"/>
          <w:numId w:val="2"/>
        </w:numPr>
        <w:spacing w:line="560" w:lineRule="exact"/>
        <w:ind w:firstLine="420" w:firstLineChars="200"/>
        <w:jc w:val="left"/>
        <w:rPr>
          <w:rFonts w:ascii="仿宋_GB2312" w:hAnsi="黑体" w:eastAsia="仿宋_GB2312" w:cs="宋体"/>
          <w:color w:val="000000"/>
          <w:kern w:val="0"/>
          <w:sz w:val="32"/>
          <w:szCs w:val="32"/>
        </w:rPr>
      </w:pPr>
      <w:r>
        <w:drawing>
          <wp:anchor distT="0" distB="0" distL="114300" distR="114300" simplePos="0" relativeHeight="251697152" behindDoc="0" locked="0" layoutInCell="1" allowOverlap="1">
            <wp:simplePos x="0" y="0"/>
            <wp:positionH relativeFrom="column">
              <wp:posOffset>69850</wp:posOffset>
            </wp:positionH>
            <wp:positionV relativeFrom="paragraph">
              <wp:posOffset>141605</wp:posOffset>
            </wp:positionV>
            <wp:extent cx="5695950" cy="2382520"/>
            <wp:effectExtent l="9525" t="9525" r="9525" b="27305"/>
            <wp:wrapTopAndBottom/>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9"/>
                    <a:stretch>
                      <a:fillRect/>
                    </a:stretch>
                  </pic:blipFill>
                  <pic:spPr>
                    <a:xfrm>
                      <a:off x="0" y="0"/>
                      <a:ext cx="5695950" cy="2382520"/>
                    </a:xfrm>
                    <a:prstGeom prst="rect">
                      <a:avLst/>
                    </a:prstGeom>
                    <a:noFill/>
                    <a:ln>
                      <a:solidFill>
                        <a:schemeClr val="bg2"/>
                      </a:solidFill>
                    </a:ln>
                  </pic:spPr>
                </pic:pic>
              </a:graphicData>
            </a:graphic>
          </wp:anchor>
        </w:drawing>
      </w:r>
      <w:r>
        <w:rPr>
          <w:rFonts w:hint="eastAsia" w:ascii="仿宋_GB2312" w:hAnsi="黑体" w:eastAsia="仿宋_GB2312" w:cs="宋体"/>
          <w:color w:val="000000"/>
          <w:kern w:val="0"/>
          <w:sz w:val="32"/>
          <w:szCs w:val="32"/>
        </w:rPr>
        <w:t>脱硫废水处理系统</w:t>
      </w:r>
    </w:p>
    <w:p>
      <w:pPr>
        <w:spacing w:line="560" w:lineRule="exact"/>
        <w:ind w:firstLine="640" w:firstLineChars="20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设置1套31.5m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/h脱硫废水处理装置，主要包括废水处理系统、化学加药系统和污泥脱水系统三个部分。本工程废水系统处理能力为31.5m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/h，废水处理工艺包括以下三个分系统：废水处理系统、化学加药系统和污泥脱水系统。脱硫废水经处理后的出水水质符合《污水综合排放标准》（GB8978－1996）中的一级标准。</w:t>
      </w:r>
    </w:p>
    <w:p>
      <w:pPr>
        <w:spacing w:line="560" w:lineRule="exact"/>
        <w:jc w:val="center"/>
        <w:rPr>
          <w:rFonts w:ascii="仿宋_GB2312" w:hAnsi="黑体" w:eastAsia="仿宋_GB2312" w:cs="宋体"/>
          <w:color w:val="000000"/>
          <w:kern w:val="0"/>
          <w:sz w:val="28"/>
          <w:szCs w:val="28"/>
        </w:rPr>
      </w:pPr>
      <w:r>
        <w:drawing>
          <wp:anchor distT="0" distB="0" distL="114300" distR="114300" simplePos="0" relativeHeight="251698176" behindDoc="0" locked="0" layoutInCell="1" allowOverlap="1">
            <wp:simplePos x="0" y="0"/>
            <wp:positionH relativeFrom="column">
              <wp:posOffset>152400</wp:posOffset>
            </wp:positionH>
            <wp:positionV relativeFrom="paragraph">
              <wp:posOffset>41275</wp:posOffset>
            </wp:positionV>
            <wp:extent cx="5695950" cy="1958975"/>
            <wp:effectExtent l="9525" t="9525" r="9525" b="127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95950" cy="1958975"/>
                    </a:xfrm>
                    <a:prstGeom prst="rect">
                      <a:avLst/>
                    </a:prstGeom>
                    <a:noFill/>
                    <a:ln>
                      <a:solidFill>
                        <a:schemeClr val="bg2"/>
                      </a:solidFill>
                    </a:ln>
                  </pic:spPr>
                </pic:pic>
              </a:graphicData>
            </a:graphic>
          </wp:anchor>
        </w:drawing>
      </w:r>
      <w:r>
        <w:rPr>
          <w:rFonts w:hint="eastAsia" w:ascii="仿宋_GB2312" w:hAnsi="黑体" w:eastAsia="仿宋_GB2312" w:cs="宋体"/>
          <w:color w:val="000000"/>
          <w:kern w:val="0"/>
          <w:sz w:val="28"/>
          <w:szCs w:val="28"/>
        </w:rPr>
        <w:t>图3-6 脱硫废水处理工艺流程</w:t>
      </w:r>
    </w:p>
    <w:p>
      <w:pPr>
        <w:numPr>
          <w:ilvl w:val="0"/>
          <w:numId w:val="2"/>
        </w:numPr>
        <w:spacing w:line="560" w:lineRule="exact"/>
        <w:ind w:firstLine="640" w:firstLineChars="20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生活污水处理系统</w:t>
      </w:r>
    </w:p>
    <w:p>
      <w:pPr>
        <w:spacing w:line="560" w:lineRule="exact"/>
        <w:ind w:left="420" w:leftChars="200" w:firstLine="64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设置2套10m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/h地埋式生活污水处理装置，通过二级生化处理及过滤深度处理从而达到三级处理回用水标准，生活污水处理达标后用于绿化、道路冲洗等。</w:t>
      </w:r>
    </w:p>
    <w:p>
      <w:pPr>
        <w:spacing w:line="560" w:lineRule="exact"/>
        <w:jc w:val="center"/>
        <w:rPr>
          <w:rFonts w:ascii="仿宋_GB2312" w:hAnsi="黑体" w:eastAsia="仿宋_GB2312" w:cs="宋体"/>
          <w:color w:val="000000"/>
          <w:kern w:val="0"/>
          <w:sz w:val="28"/>
          <w:szCs w:val="28"/>
        </w:rPr>
      </w:pPr>
      <w:r>
        <w:drawing>
          <wp:anchor distT="0" distB="0" distL="114300" distR="114300" simplePos="0" relativeHeight="251699200" behindDoc="0" locked="0" layoutInCell="1" allowOverlap="1">
            <wp:simplePos x="0" y="0"/>
            <wp:positionH relativeFrom="column">
              <wp:posOffset>292100</wp:posOffset>
            </wp:positionH>
            <wp:positionV relativeFrom="paragraph">
              <wp:posOffset>40005</wp:posOffset>
            </wp:positionV>
            <wp:extent cx="5410200" cy="1238250"/>
            <wp:effectExtent l="9525" t="9525" r="9525"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410200" cy="1238250"/>
                    </a:xfrm>
                    <a:prstGeom prst="rect">
                      <a:avLst/>
                    </a:prstGeom>
                    <a:noFill/>
                    <a:ln>
                      <a:solidFill>
                        <a:schemeClr val="bg2"/>
                      </a:solidFill>
                    </a:ln>
                  </pic:spPr>
                </pic:pic>
              </a:graphicData>
            </a:graphic>
          </wp:anchor>
        </w:drawing>
      </w:r>
      <w:r>
        <w:rPr>
          <w:rFonts w:hint="eastAsia" w:ascii="仿宋_GB2312" w:hAnsi="黑体" w:eastAsia="仿宋_GB2312" w:cs="宋体"/>
          <w:color w:val="000000"/>
          <w:kern w:val="0"/>
          <w:sz w:val="28"/>
          <w:szCs w:val="28"/>
        </w:rPr>
        <w:t>图3-7 生活污水处理工艺流程</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3.5噪声处理</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工程建设时优化厂区平面布置，合理布置高噪声设备，针对不同噪声源, 通过采取隔声、消声、减振、绿化等各项降噪措施，从源头控制噪声污染。</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噪声防治措施落实的调查内容，噪声防治措施落实情况如下：</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 xml:space="preserve">（1）项目在设计过程中对总平面布置进行合理优化，重点噪声源已尽量远离居民区（后湖王家），建设实体围墙； </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 xml:space="preserve">（2）项目发电机、汽轮机、励磁机、氧化风机、空压机等高噪声的设备布置在室内，对设备采取减振降噪措施； </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 xml:space="preserve">（3）1号、2号锅炉12.6m运转层以下全部进行紧身封闭； </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 xml:space="preserve">（4）项目厂区四周修建实体围墙，并在厂区周围空地进行绿化； </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 xml:space="preserve">（5）锅炉排汽放空加装消声器，并尽量减少夜间排汽次数； </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 xml:space="preserve">（6）锅炉吹管安排在昼间，吹管活动前采取公告制度； </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 xml:space="preserve">（7）加强煤泥运输交通管理，车辆行经居民点等敏感点时应限速、禁鸣； </w:t>
      </w:r>
    </w:p>
    <w:p>
      <w:pPr>
        <w:spacing w:line="560" w:lineRule="exact"/>
        <w:ind w:firstLine="640" w:firstLineChars="200"/>
        <w:rPr>
          <w:rFonts w:ascii="仿宋_GB2312" w:hAnsi="黑体" w:eastAsia="仿宋_GB2312" w:cs="宋体"/>
          <w:color w:val="000000"/>
          <w:kern w:val="0"/>
          <w:sz w:val="32"/>
          <w:szCs w:val="32"/>
        </w:rPr>
      </w:pPr>
      <w:r>
        <w:rPr>
          <w:rFonts w:ascii="仿宋_GB2312" w:hAnsi="黑体" w:eastAsia="仿宋_GB2312" w:cs="宋体"/>
          <w:color w:val="000000"/>
          <w:kern w:val="0"/>
          <w:sz w:val="32"/>
          <w:szCs w:val="32"/>
        </w:rPr>
        <w:t xml:space="preserve">（8）冷却塔设置落水消能格珊板，减小噪声影响。 </w:t>
      </w:r>
    </w:p>
    <w:tbl>
      <w:tblPr>
        <w:tblStyle w:val="10"/>
        <w:tblW w:w="9038" w:type="dxa"/>
        <w:tblInd w:w="0" w:type="dxa"/>
        <w:tblLayout w:type="fixed"/>
        <w:tblCellMar>
          <w:top w:w="0" w:type="dxa"/>
          <w:left w:w="108" w:type="dxa"/>
          <w:bottom w:w="0" w:type="dxa"/>
          <w:right w:w="108" w:type="dxa"/>
        </w:tblCellMar>
      </w:tblPr>
      <w:tblGrid>
        <w:gridCol w:w="1242"/>
        <w:gridCol w:w="851"/>
        <w:gridCol w:w="1701"/>
        <w:gridCol w:w="992"/>
        <w:gridCol w:w="992"/>
        <w:gridCol w:w="883"/>
        <w:gridCol w:w="676"/>
        <w:gridCol w:w="850"/>
        <w:gridCol w:w="851"/>
      </w:tblGrid>
      <w:tr>
        <w:tblPrEx>
          <w:tblLayout w:type="fixed"/>
          <w:tblCellMar>
            <w:top w:w="0" w:type="dxa"/>
            <w:left w:w="108" w:type="dxa"/>
            <w:bottom w:w="0" w:type="dxa"/>
            <w:right w:w="108" w:type="dxa"/>
          </w:tblCellMar>
        </w:tblPrEx>
        <w:trPr>
          <w:trHeight w:val="983" w:hRule="atLeast"/>
        </w:trPr>
        <w:tc>
          <w:tcPr>
            <w:tcW w:w="12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报告</w:t>
            </w:r>
          </w:p>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时间</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测点</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监测点</w:t>
            </w:r>
          </w:p>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位置</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监测结果dB(A)</w:t>
            </w:r>
          </w:p>
        </w:tc>
        <w:tc>
          <w:tcPr>
            <w:tcW w:w="155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控制标准</w:t>
            </w:r>
          </w:p>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dB(A)</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是否</w:t>
            </w:r>
          </w:p>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达标</w:t>
            </w:r>
          </w:p>
        </w:tc>
      </w:tr>
      <w:tr>
        <w:tblPrEx>
          <w:tblLayout w:type="fixed"/>
          <w:tblCellMar>
            <w:top w:w="0" w:type="dxa"/>
            <w:left w:w="108" w:type="dxa"/>
            <w:bottom w:w="0" w:type="dxa"/>
            <w:right w:w="108" w:type="dxa"/>
          </w:tblCellMar>
        </w:tblPrEx>
        <w:trPr>
          <w:trHeight w:val="280" w:hRule="atLeast"/>
        </w:trPr>
        <w:tc>
          <w:tcPr>
            <w:tcW w:w="12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编号</w:t>
            </w: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昼</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夜</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昼</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夜</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昼</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夜</w:t>
            </w:r>
          </w:p>
        </w:tc>
      </w:tr>
      <w:tr>
        <w:tblPrEx>
          <w:tblLayout w:type="fixed"/>
          <w:tblCellMar>
            <w:top w:w="0" w:type="dxa"/>
            <w:left w:w="108" w:type="dxa"/>
            <w:bottom w:w="0" w:type="dxa"/>
            <w:right w:w="108" w:type="dxa"/>
          </w:tblCellMar>
        </w:tblPrEx>
        <w:trPr>
          <w:trHeight w:val="567" w:hRule="atLeast"/>
        </w:trPr>
        <w:tc>
          <w:tcPr>
            <w:tcW w:w="124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2019年1季度</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东厂界1米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5</w:t>
            </w:r>
            <w:r>
              <w:rPr>
                <w:rFonts w:hint="eastAsia" w:ascii="仿宋_GB2312" w:hAnsi="宋体" w:eastAsia="仿宋_GB2312" w:cs="宋体"/>
                <w:color w:val="000000"/>
                <w:kern w:val="0"/>
                <w:sz w:val="28"/>
                <w:szCs w:val="28"/>
              </w:rPr>
              <w:t>6.0</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4</w:t>
            </w:r>
            <w:r>
              <w:rPr>
                <w:rFonts w:hint="eastAsia" w:ascii="仿宋_GB2312" w:hAnsi="宋体" w:eastAsia="仿宋_GB2312" w:cs="宋体"/>
                <w:color w:val="000000"/>
                <w:kern w:val="0"/>
                <w:sz w:val="28"/>
                <w:szCs w:val="28"/>
              </w:rPr>
              <w:t>6.5</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南厂界1米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52.3</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4</w:t>
            </w:r>
            <w:r>
              <w:rPr>
                <w:rFonts w:hint="eastAsia" w:ascii="仿宋_GB2312" w:hAnsi="宋体" w:eastAsia="仿宋_GB2312" w:cs="宋体"/>
                <w:color w:val="000000"/>
                <w:kern w:val="0"/>
                <w:sz w:val="28"/>
                <w:szCs w:val="28"/>
              </w:rPr>
              <w:t>3.5</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西厂界1米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5</w:t>
            </w:r>
            <w:r>
              <w:rPr>
                <w:rFonts w:hint="eastAsia" w:ascii="仿宋_GB2312" w:hAnsi="宋体" w:eastAsia="仿宋_GB2312" w:cs="宋体"/>
                <w:color w:val="000000"/>
                <w:kern w:val="0"/>
                <w:sz w:val="28"/>
                <w:szCs w:val="28"/>
              </w:rPr>
              <w:t>3.6</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4</w:t>
            </w:r>
            <w:r>
              <w:rPr>
                <w:rFonts w:hint="eastAsia" w:ascii="仿宋_GB2312" w:hAnsi="宋体" w:eastAsia="仿宋_GB2312" w:cs="宋体"/>
                <w:color w:val="000000"/>
                <w:kern w:val="0"/>
                <w:sz w:val="28"/>
                <w:szCs w:val="28"/>
              </w:rPr>
              <w:t>2.1</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北厂界1米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5</w:t>
            </w:r>
            <w:r>
              <w:rPr>
                <w:rFonts w:hint="eastAsia" w:ascii="仿宋_GB2312" w:hAnsi="宋体" w:eastAsia="仿宋_GB2312" w:cs="宋体"/>
                <w:color w:val="000000"/>
                <w:kern w:val="0"/>
                <w:sz w:val="28"/>
                <w:szCs w:val="28"/>
              </w:rPr>
              <w:t>1</w:t>
            </w:r>
            <w:r>
              <w:rPr>
                <w:rFonts w:ascii="仿宋_GB2312" w:hAnsi="宋体" w:eastAsia="仿宋_GB2312" w:cs="宋体"/>
                <w:color w:val="000000"/>
                <w:kern w:val="0"/>
                <w:sz w:val="28"/>
                <w:szCs w:val="28"/>
              </w:rPr>
              <w:t>.1</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ascii="仿宋_GB2312" w:hAnsi="宋体" w:eastAsia="仿宋_GB2312" w:cs="宋体"/>
                <w:color w:val="000000"/>
                <w:kern w:val="0"/>
                <w:sz w:val="28"/>
                <w:szCs w:val="28"/>
              </w:rPr>
              <w:t>4</w:t>
            </w:r>
            <w:r>
              <w:rPr>
                <w:rFonts w:hint="eastAsia" w:ascii="仿宋_GB2312" w:hAnsi="宋体" w:eastAsia="仿宋_GB2312" w:cs="宋体"/>
                <w:color w:val="000000"/>
                <w:kern w:val="0"/>
                <w:sz w:val="28"/>
                <w:szCs w:val="28"/>
              </w:rPr>
              <w:t>1.9</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2019年2季度</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东厂界1米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51.8</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44.0</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南厂界1米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60.5</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50.4</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西厂界1米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59.7</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51.8</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北厂界1米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62.1</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51.3</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2019年3季度</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东厂界1米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56.8</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47.3</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南厂界1米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53.0</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44.3</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西厂界1米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54.1</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42.7</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北厂界1米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52.5</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41.5</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2019年4季度</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东厂界1米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53.6</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45.6</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tcPr>
          <w:p>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2</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南厂界1米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57.0</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45.6</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tcPr>
          <w:p>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3</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西厂界1米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53.7</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43.5</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tcPr>
          <w:p>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567" w:hRule="atLeast"/>
        </w:trPr>
        <w:tc>
          <w:tcPr>
            <w:tcW w:w="1242"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宋体" w:eastAsia="仿宋_GB2312" w:cs="宋体"/>
                <w:color w:val="000000"/>
                <w:kern w:val="0"/>
                <w:sz w:val="28"/>
                <w:szCs w:val="28"/>
              </w:rPr>
            </w:pP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北厂界1米</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55.0</w:t>
            </w:r>
          </w:p>
        </w:tc>
        <w:tc>
          <w:tcPr>
            <w:tcW w:w="992" w:type="dxa"/>
            <w:tcBorders>
              <w:top w:val="nil"/>
              <w:left w:val="nil"/>
              <w:bottom w:val="single" w:color="auto" w:sz="4" w:space="0"/>
              <w:right w:val="single" w:color="auto" w:sz="4" w:space="0"/>
            </w:tcBorders>
            <w:shd w:val="clear" w:color="auto" w:fill="auto"/>
            <w:vAlign w:val="center"/>
          </w:tcPr>
          <w:p>
            <w:pPr>
              <w:widowControl/>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46.9</w:t>
            </w:r>
          </w:p>
        </w:tc>
        <w:tc>
          <w:tcPr>
            <w:tcW w:w="88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65</w:t>
            </w:r>
          </w:p>
        </w:tc>
        <w:tc>
          <w:tcPr>
            <w:tcW w:w="676"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55</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是</w:t>
            </w:r>
          </w:p>
        </w:tc>
      </w:tr>
      <w:tr>
        <w:tblPrEx>
          <w:tblLayout w:type="fixed"/>
          <w:tblCellMar>
            <w:top w:w="0" w:type="dxa"/>
            <w:left w:w="108" w:type="dxa"/>
            <w:bottom w:w="0" w:type="dxa"/>
            <w:right w:w="108" w:type="dxa"/>
          </w:tblCellMar>
        </w:tblPrEx>
        <w:trPr>
          <w:trHeight w:val="28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监测</w:t>
            </w:r>
          </w:p>
          <w:p>
            <w:pPr>
              <w:widowControl/>
              <w:spacing w:line="400" w:lineRule="exact"/>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单位</w:t>
            </w:r>
          </w:p>
        </w:tc>
        <w:tc>
          <w:tcPr>
            <w:tcW w:w="7796"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安徽创新检测技术有限公司</w:t>
            </w:r>
          </w:p>
        </w:tc>
      </w:tr>
      <w:tr>
        <w:tblPrEx>
          <w:tblLayout w:type="fixed"/>
          <w:tblCellMar>
            <w:top w:w="0" w:type="dxa"/>
            <w:left w:w="108" w:type="dxa"/>
            <w:bottom w:w="0" w:type="dxa"/>
            <w:right w:w="108" w:type="dxa"/>
          </w:tblCellMar>
        </w:tblPrEx>
        <w:trPr>
          <w:trHeight w:val="1020" w:hRule="atLeast"/>
        </w:trPr>
        <w:tc>
          <w:tcPr>
            <w:tcW w:w="124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备 注</w:t>
            </w:r>
          </w:p>
        </w:tc>
        <w:tc>
          <w:tcPr>
            <w:tcW w:w="7796"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line="440" w:lineRule="exact"/>
              <w:jc w:val="left"/>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厂界噪声控制标准为《工业企业厂界噪声标准》（GB12348-2008）Ⅲ标准。</w:t>
            </w:r>
          </w:p>
        </w:tc>
      </w:tr>
    </w:tbl>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3.6固废处理</w:t>
      </w:r>
    </w:p>
    <w:p>
      <w:pPr>
        <w:spacing w:line="560" w:lineRule="exact"/>
        <w:ind w:firstLine="640" w:firstLineChars="20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公司的固体废物分为一般固体废物和危险废物、生活垃圾。</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（1）一般固废</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本工程灰渣、脱硫石膏优先考虑综合利用，综合利用不畅时，灰渣、脱硫石膏分类贮存在厂内。</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厂内建设①2座770m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渣仓可存约23h排渣量；②3座2000m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灰库（1座原灰库、1座粗灰库、1座细灰库）可存约38h排灰量；③1座石膏库可存约3d石膏量；④3座50000m</w:t>
      </w:r>
      <w:r>
        <w:rPr>
          <w:rFonts w:hint="eastAsia" w:ascii="仿宋_GB2312" w:hAnsi="黑体" w:eastAsia="仿宋_GB2312" w:cs="宋体"/>
          <w:color w:val="000000"/>
          <w:kern w:val="0"/>
          <w:sz w:val="32"/>
          <w:szCs w:val="32"/>
          <w:vertAlign w:val="superscript"/>
        </w:rPr>
        <w:t>3</w:t>
      </w:r>
      <w:r>
        <w:rPr>
          <w:rFonts w:hint="eastAsia" w:ascii="仿宋_GB2312" w:hAnsi="黑体" w:eastAsia="仿宋_GB2312" w:cs="宋体"/>
          <w:color w:val="000000"/>
          <w:kern w:val="0"/>
          <w:sz w:val="32"/>
          <w:szCs w:val="32"/>
        </w:rPr>
        <w:t>灰罐用于应急储存，2座用于储灰、1座用于储渣，可存约45d灰渣。灰库、渣仓和石膏库均配有封闭式装车系统，用于灰渣和石膏外运。</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（2）危险废物临时储存场所</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在厂区西北侧设置1座面积约30m</w:t>
      </w:r>
      <w:r>
        <w:rPr>
          <w:rFonts w:hint="eastAsia" w:ascii="仿宋_GB2312" w:hAnsi="黑体" w:eastAsia="仿宋_GB2312" w:cs="宋体"/>
          <w:color w:val="000000"/>
          <w:kern w:val="0"/>
          <w:sz w:val="32"/>
          <w:szCs w:val="32"/>
          <w:vertAlign w:val="superscript"/>
        </w:rPr>
        <w:t>2</w:t>
      </w:r>
      <w:r>
        <w:rPr>
          <w:rFonts w:hint="eastAsia" w:ascii="仿宋_GB2312" w:hAnsi="黑体" w:eastAsia="仿宋_GB2312" w:cs="宋体"/>
          <w:color w:val="000000"/>
          <w:kern w:val="0"/>
          <w:sz w:val="32"/>
          <w:szCs w:val="32"/>
        </w:rPr>
        <w:t>的危险废物临时储存场所，该场所建设满足《危险废物贮存污染控制标准》（GB18597-2001）要求。</w:t>
      </w:r>
    </w:p>
    <w:p>
      <w:pPr>
        <w:spacing w:line="560" w:lineRule="exact"/>
        <w:ind w:firstLine="640" w:firstLineChars="20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（3）生活垃圾</w:t>
      </w:r>
    </w:p>
    <w:p>
      <w:pPr>
        <w:spacing w:line="560" w:lineRule="exact"/>
        <w:ind w:firstLine="640" w:firstLineChars="20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生活垃圾经厂区收集后，委托宿州市埇桥区紫天环保有限公司统一处理。</w:t>
      </w:r>
    </w:p>
    <w:p>
      <w:pPr>
        <w:tabs>
          <w:tab w:val="left" w:pos="6663"/>
        </w:tabs>
        <w:spacing w:line="360" w:lineRule="auto"/>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2019年度固体废物处理处置情况一览表</w:t>
      </w:r>
    </w:p>
    <w:tbl>
      <w:tblPr>
        <w:tblStyle w:val="11"/>
        <w:tblW w:w="9659"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2415"/>
        <w:gridCol w:w="1605"/>
        <w:gridCol w:w="4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8" w:hRule="atLeast"/>
        </w:trPr>
        <w:tc>
          <w:tcPr>
            <w:tcW w:w="1530" w:type="dxa"/>
            <w:vAlign w:val="center"/>
          </w:tcPr>
          <w:p>
            <w:pPr>
              <w:tabs>
                <w:tab w:val="left" w:pos="6663"/>
              </w:tabs>
              <w:spacing w:line="360" w:lineRule="auto"/>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固废类型</w:t>
            </w:r>
          </w:p>
        </w:tc>
        <w:tc>
          <w:tcPr>
            <w:tcW w:w="241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产生固体废物的设施或工序</w:t>
            </w:r>
          </w:p>
        </w:tc>
        <w:tc>
          <w:tcPr>
            <w:tcW w:w="160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固体废物</w:t>
            </w:r>
          </w:p>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名称</w:t>
            </w:r>
          </w:p>
        </w:tc>
        <w:tc>
          <w:tcPr>
            <w:tcW w:w="4109"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处理处置/综合利用方式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530" w:type="dxa"/>
            <w:vMerge w:val="restart"/>
            <w:vAlign w:val="center"/>
          </w:tcPr>
          <w:p>
            <w:pPr>
              <w:tabs>
                <w:tab w:val="left" w:pos="6663"/>
              </w:tabs>
              <w:spacing w:line="360" w:lineRule="auto"/>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一般固废</w:t>
            </w:r>
          </w:p>
        </w:tc>
        <w:tc>
          <w:tcPr>
            <w:tcW w:w="241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锅炉</w:t>
            </w:r>
          </w:p>
        </w:tc>
        <w:tc>
          <w:tcPr>
            <w:tcW w:w="160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粉煤灰</w:t>
            </w:r>
          </w:p>
        </w:tc>
        <w:tc>
          <w:tcPr>
            <w:tcW w:w="4109"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外售做水泥原料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1530" w:type="dxa"/>
            <w:vMerge w:val="continue"/>
            <w:vAlign w:val="center"/>
          </w:tcPr>
          <w:p>
            <w:pPr>
              <w:tabs>
                <w:tab w:val="left" w:pos="6663"/>
              </w:tabs>
              <w:spacing w:line="360" w:lineRule="auto"/>
              <w:rPr>
                <w:rFonts w:ascii="仿宋_GB2312" w:hAnsi="黑体" w:eastAsia="仿宋_GB2312" w:cs="宋体"/>
                <w:color w:val="000000"/>
                <w:kern w:val="0"/>
                <w:sz w:val="30"/>
                <w:szCs w:val="30"/>
              </w:rPr>
            </w:pPr>
          </w:p>
        </w:tc>
        <w:tc>
          <w:tcPr>
            <w:tcW w:w="241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锅炉</w:t>
            </w:r>
          </w:p>
        </w:tc>
        <w:tc>
          <w:tcPr>
            <w:tcW w:w="160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炉渣</w:t>
            </w:r>
          </w:p>
        </w:tc>
        <w:tc>
          <w:tcPr>
            <w:tcW w:w="4109"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外售做建材原料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530" w:type="dxa"/>
            <w:vMerge w:val="continue"/>
            <w:vAlign w:val="center"/>
          </w:tcPr>
          <w:p>
            <w:pPr>
              <w:tabs>
                <w:tab w:val="left" w:pos="6663"/>
              </w:tabs>
              <w:spacing w:line="360" w:lineRule="auto"/>
              <w:rPr>
                <w:rFonts w:ascii="仿宋_GB2312" w:hAnsi="黑体" w:eastAsia="仿宋_GB2312" w:cs="宋体"/>
                <w:color w:val="000000"/>
                <w:kern w:val="0"/>
                <w:sz w:val="30"/>
                <w:szCs w:val="30"/>
              </w:rPr>
            </w:pPr>
          </w:p>
        </w:tc>
        <w:tc>
          <w:tcPr>
            <w:tcW w:w="2415" w:type="dxa"/>
            <w:vAlign w:val="center"/>
          </w:tcPr>
          <w:p>
            <w:pPr>
              <w:tabs>
                <w:tab w:val="left" w:pos="6663"/>
              </w:tabs>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原水处理系统</w:t>
            </w:r>
          </w:p>
        </w:tc>
        <w:tc>
          <w:tcPr>
            <w:tcW w:w="1605" w:type="dxa"/>
            <w:vAlign w:val="center"/>
          </w:tcPr>
          <w:p>
            <w:pPr>
              <w:tabs>
                <w:tab w:val="left" w:pos="6663"/>
              </w:tabs>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污泥</w:t>
            </w:r>
          </w:p>
        </w:tc>
        <w:tc>
          <w:tcPr>
            <w:tcW w:w="4109" w:type="dxa"/>
            <w:vAlign w:val="center"/>
          </w:tcPr>
          <w:p>
            <w:pPr>
              <w:tabs>
                <w:tab w:val="left" w:pos="6663"/>
              </w:tabs>
              <w:jc w:val="left"/>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1.部分污泥与煤泥混合后送至锅炉内脱硫；</w:t>
            </w:r>
          </w:p>
          <w:p>
            <w:pPr>
              <w:tabs>
                <w:tab w:val="left" w:pos="6663"/>
              </w:tabs>
              <w:jc w:val="left"/>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2.宿州海创环保科技有限责任公司无害化处置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530" w:type="dxa"/>
            <w:vMerge w:val="continue"/>
            <w:vAlign w:val="center"/>
          </w:tcPr>
          <w:p>
            <w:pPr>
              <w:tabs>
                <w:tab w:val="left" w:pos="6663"/>
              </w:tabs>
              <w:spacing w:line="360" w:lineRule="auto"/>
              <w:rPr>
                <w:rFonts w:ascii="仿宋_GB2312" w:hAnsi="黑体" w:eastAsia="仿宋_GB2312" w:cs="宋体"/>
                <w:color w:val="000000"/>
                <w:kern w:val="0"/>
                <w:sz w:val="30"/>
                <w:szCs w:val="30"/>
              </w:rPr>
            </w:pPr>
          </w:p>
        </w:tc>
        <w:tc>
          <w:tcPr>
            <w:tcW w:w="241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脱硫系统</w:t>
            </w:r>
          </w:p>
        </w:tc>
        <w:tc>
          <w:tcPr>
            <w:tcW w:w="160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石膏</w:t>
            </w:r>
          </w:p>
        </w:tc>
        <w:tc>
          <w:tcPr>
            <w:tcW w:w="4109"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外售做建材原料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30" w:type="dxa"/>
            <w:vAlign w:val="center"/>
          </w:tcPr>
          <w:p>
            <w:pPr>
              <w:tabs>
                <w:tab w:val="left" w:pos="6663"/>
              </w:tabs>
              <w:spacing w:line="360" w:lineRule="auto"/>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危险废物</w:t>
            </w:r>
          </w:p>
        </w:tc>
        <w:tc>
          <w:tcPr>
            <w:tcW w:w="241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设备检修</w:t>
            </w:r>
          </w:p>
        </w:tc>
        <w:tc>
          <w:tcPr>
            <w:tcW w:w="1605" w:type="dxa"/>
            <w:vAlign w:val="center"/>
          </w:tcPr>
          <w:p>
            <w:pPr>
              <w:tabs>
                <w:tab w:val="left" w:pos="6663"/>
              </w:tabs>
              <w:spacing w:line="360" w:lineRule="auto"/>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废矿物油</w:t>
            </w:r>
          </w:p>
        </w:tc>
        <w:tc>
          <w:tcPr>
            <w:tcW w:w="4109" w:type="dxa"/>
            <w:vAlign w:val="center"/>
          </w:tcPr>
          <w:p>
            <w:pPr>
              <w:tabs>
                <w:tab w:val="left" w:pos="6663"/>
              </w:tabs>
              <w:jc w:val="center"/>
              <w:rPr>
                <w:rFonts w:ascii="仿宋_GB2312" w:hAnsi="黑体" w:eastAsia="仿宋_GB2312" w:cs="宋体"/>
                <w:color w:val="000000"/>
                <w:kern w:val="0"/>
                <w:sz w:val="30"/>
                <w:szCs w:val="30"/>
              </w:rPr>
            </w:pPr>
            <w:r>
              <w:rPr>
                <w:rFonts w:hint="eastAsia" w:ascii="仿宋_GB2312" w:hAnsi="黑体" w:eastAsia="仿宋_GB2312" w:cs="宋体"/>
                <w:color w:val="000000"/>
                <w:kern w:val="0"/>
                <w:sz w:val="30"/>
                <w:szCs w:val="30"/>
              </w:rPr>
              <w:t>安徽人立环保科技有限公司处置</w:t>
            </w:r>
          </w:p>
        </w:tc>
      </w:tr>
    </w:tbl>
    <w:p>
      <w:pPr>
        <w:spacing w:line="560" w:lineRule="exact"/>
        <w:ind w:firstLine="646" w:firstLineChars="202"/>
        <w:rPr>
          <w:rFonts w:ascii="仿宋_GB2312" w:hAnsi="黑体" w:eastAsia="仿宋_GB2312" w:cs="宋体"/>
          <w:color w:val="000000"/>
          <w:kern w:val="0"/>
          <w:sz w:val="32"/>
          <w:szCs w:val="32"/>
        </w:rPr>
      </w:pPr>
      <w:r>
        <w:rPr>
          <w:rFonts w:hint="eastAsia" w:ascii="仿宋_GB2312" w:hAnsi="仿宋" w:eastAsia="仿宋_GB2312"/>
          <w:sz w:val="32"/>
          <w:szCs w:val="32"/>
        </w:rPr>
        <w:t>为加强固体废物、生活垃圾及危险废物全过程监督管理，强化环境保护主体责任和监督责任落实，坚决贯彻“谁主管、谁负责”和“减量化、资源化和无害化处理”的原则，提升环境风险防控和环境隐患排查治理，</w:t>
      </w:r>
      <w:r>
        <w:rPr>
          <w:rFonts w:hint="eastAsia" w:ascii="仿宋_GB2312" w:hAnsi="黑体" w:eastAsia="仿宋_GB2312" w:cs="宋体"/>
          <w:color w:val="000000"/>
          <w:kern w:val="0"/>
          <w:sz w:val="32"/>
          <w:szCs w:val="32"/>
        </w:rPr>
        <w:t>对生产经营过程中工业固体废物的分类收集、储存、运输、处理处置与综合利用做出了明确规定，并强化监管，严格落实。公司对危险废物进行了规范化管理，制定固体废物、危险废物、生活垃圾处理处置相关管理制度，专人负责危险废物的收集与管理，建立了危险废物管理台帐，与有资质单位签订危险废物委托处置合同，严格按照危废管理要求进行危险废物的转移，严格执行危废转运联单制度。</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4、环境突发事件应急预案及应急处理措施</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4.1应急预案</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公司于2018年8月，安徽钱营孜发电有限公司突发环境事件应急预案完成备案，备案编号341300-2018-09-M。</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为加强公司应急救援体系建设，检验应急救援预案的可行性，提高应急指挥、应急救援、应急配合的反应能力，确保重大事故发生后能得到迅速有效地控制。公司每年均开展突发环境事件应急演练。</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年硫酸管道泄漏事故应急演练方案（见附件）</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4.2危化品管理</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危化品设有专门的贮存场地，储罐区均设有围堰，并设置了应急收集池，同时按照应急预案要求，储备有相关应急物资，做到专门保管，保证应急物资数量和质量。制定了危化品泄漏环境应急专项预案，针对现场不同危化品分别制定了相应的现场处置措施。</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4.3应急处理措施</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4.3.1迅速切断、阻隔污染源；</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4.3.2迅速了解污染情况；</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4.3.3针对特征污染物质，采取有效措施使之吸收、稀释、降低环境中污染物质的浓度；</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4.3.4严防中毒事件的发生或扩大，做好对中毒人员的救治工作；</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4.3.5配合有关监测部门迅速布点监测，获取监测数据；</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4.3.6根据监测数据和其他有关数据及时调整应急对策。</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4.4应急预案落实情况</w:t>
      </w:r>
    </w:p>
    <w:p>
      <w:pPr>
        <w:spacing w:line="560" w:lineRule="exact"/>
        <w:ind w:firstLine="646" w:firstLineChars="202"/>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为加强公司应急救援体系建设，检验应急救援预案的可行性，提高应急指挥、应急救援、应急配合的反应能力， 2019年6月28日公司组织开展了硫酸管道泄漏应急演练。安全监督部、发电部、技术支持部、皖检项目部等相关部门参加了演练。</w:t>
      </w:r>
    </w:p>
    <w:p>
      <w:pPr>
        <w:widowControl/>
        <w:spacing w:line="580" w:lineRule="exact"/>
        <w:rPr>
          <w:rFonts w:ascii="方正黑体_GBK" w:hAnsi="黑体" w:eastAsia="方正黑体_GBK" w:cs="宋体"/>
          <w:color w:val="000000"/>
          <w:kern w:val="0"/>
          <w:sz w:val="32"/>
          <w:szCs w:val="32"/>
        </w:rPr>
      </w:pPr>
      <w:r>
        <w:rPr>
          <w:rFonts w:hint="eastAsia" w:ascii="方正黑体_GBK" w:hAnsi="黑体" w:eastAsia="方正黑体_GBK" w:cs="宋体"/>
          <w:color w:val="000000"/>
          <w:kern w:val="0"/>
          <w:sz w:val="32"/>
          <w:szCs w:val="32"/>
        </w:rPr>
        <w:t>四、环保目标指标及</w:t>
      </w:r>
      <w:r>
        <w:rPr>
          <w:rFonts w:hint="eastAsia" w:ascii="方正黑体_GBK" w:hAnsi="黑体" w:eastAsia="方正黑体_GBK" w:cs="宋体"/>
          <w:color w:val="000000"/>
          <w:kern w:val="0"/>
          <w:sz w:val="32"/>
          <w:szCs w:val="32"/>
          <w:lang w:val="en-US" w:eastAsia="zh-CN"/>
        </w:rPr>
        <w:t>烟气主要污染物排放情况</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㈠ 201</w:t>
      </w:r>
      <w:r>
        <w:rPr>
          <w:rFonts w:ascii="楷体_GB2312" w:hAnsi="黑体" w:eastAsia="楷体_GB2312" w:cs="宋体"/>
          <w:color w:val="000000"/>
          <w:kern w:val="0"/>
          <w:sz w:val="32"/>
          <w:szCs w:val="32"/>
        </w:rPr>
        <w:t>9</w:t>
      </w:r>
      <w:r>
        <w:rPr>
          <w:rFonts w:hint="eastAsia" w:ascii="楷体_GB2312" w:hAnsi="黑体" w:eastAsia="楷体_GB2312" w:cs="宋体"/>
          <w:color w:val="000000"/>
          <w:kern w:val="0"/>
          <w:sz w:val="32"/>
          <w:szCs w:val="32"/>
        </w:rPr>
        <w:t>年公司环保任务目标</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1、加强环保设施运行管理，保证各项污染物达标排放。</w:t>
      </w:r>
    </w:p>
    <w:p>
      <w:pPr>
        <w:spacing w:line="560" w:lineRule="exact"/>
        <w:rPr>
          <w:rFonts w:hint="eastAsia" w:ascii="仿宋_GB2312" w:hAnsi="黑体" w:eastAsia="仿宋_GB2312" w:cs="宋体"/>
          <w:color w:val="000000"/>
          <w:kern w:val="0"/>
          <w:sz w:val="32"/>
          <w:szCs w:val="32"/>
          <w:lang w:eastAsia="zh-CN"/>
        </w:rPr>
      </w:pPr>
      <w:r>
        <w:rPr>
          <w:rFonts w:hint="eastAsia" w:ascii="仿宋_GB2312" w:hAnsi="黑体" w:eastAsia="仿宋_GB2312" w:cs="宋体"/>
          <w:color w:val="000000"/>
          <w:kern w:val="0"/>
          <w:sz w:val="32"/>
          <w:szCs w:val="32"/>
        </w:rPr>
        <w:t>2、完成201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年度各项环境统计、申报、企业环境信息公开报告等工作</w:t>
      </w:r>
      <w:r>
        <w:rPr>
          <w:rFonts w:hint="eastAsia" w:ascii="仿宋_GB2312" w:hAnsi="黑体" w:eastAsia="仿宋_GB2312" w:cs="宋体"/>
          <w:color w:val="000000"/>
          <w:kern w:val="0"/>
          <w:sz w:val="32"/>
          <w:szCs w:val="32"/>
          <w:lang w:eastAsia="zh-CN"/>
        </w:rPr>
        <w:t>。</w:t>
      </w:r>
    </w:p>
    <w:p>
      <w:pPr>
        <w:spacing w:line="560" w:lineRule="exact"/>
        <w:rPr>
          <w:rFonts w:hint="eastAsia" w:ascii="仿宋_GB2312" w:hAnsi="黑体" w:eastAsia="仿宋_GB2312" w:cs="宋体"/>
          <w:color w:val="000000"/>
          <w:kern w:val="0"/>
          <w:sz w:val="32"/>
          <w:szCs w:val="32"/>
          <w:lang w:eastAsia="zh-CN"/>
        </w:rPr>
      </w:pPr>
      <w:r>
        <w:rPr>
          <w:rFonts w:hint="eastAsia" w:ascii="仿宋_GB2312" w:hAnsi="黑体" w:eastAsia="仿宋_GB2312" w:cs="宋体"/>
          <w:color w:val="000000"/>
          <w:kern w:val="0"/>
          <w:sz w:val="32"/>
          <w:szCs w:val="32"/>
        </w:rPr>
        <w:t>3、完成201</w:t>
      </w:r>
      <w:r>
        <w:rPr>
          <w:rFonts w:ascii="仿宋_GB2312" w:hAnsi="黑体" w:eastAsia="仿宋_GB2312" w:cs="宋体"/>
          <w:color w:val="000000"/>
          <w:kern w:val="0"/>
          <w:sz w:val="32"/>
          <w:szCs w:val="32"/>
        </w:rPr>
        <w:t>8</w:t>
      </w:r>
      <w:r>
        <w:rPr>
          <w:rFonts w:hint="eastAsia" w:ascii="仿宋_GB2312" w:hAnsi="黑体" w:eastAsia="仿宋_GB2312" w:cs="宋体"/>
          <w:color w:val="000000"/>
          <w:kern w:val="0"/>
          <w:sz w:val="32"/>
          <w:szCs w:val="32"/>
        </w:rPr>
        <w:t>年度企业信用评价工作的申报</w:t>
      </w:r>
      <w:r>
        <w:rPr>
          <w:rFonts w:hint="eastAsia" w:ascii="仿宋_GB2312" w:hAnsi="黑体" w:eastAsia="仿宋_GB2312" w:cs="宋体"/>
          <w:color w:val="000000"/>
          <w:kern w:val="0"/>
          <w:sz w:val="32"/>
          <w:szCs w:val="32"/>
          <w:lang w:eastAsia="zh-CN"/>
        </w:rPr>
        <w:t>。</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4、完成排污许可证的执行报告的编制和上报。</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5、加强环保管理，迎接各级环保部门的监测、检查。</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6、完成年度危废管理计划编制和备案工作，完成各项危险废物的处置工作。</w:t>
      </w:r>
    </w:p>
    <w:p>
      <w:pPr>
        <w:spacing w:line="560" w:lineRule="exact"/>
        <w:rPr>
          <w:rFonts w:hint="eastAsia" w:ascii="仿宋_GB2312" w:hAnsi="黑体" w:eastAsia="仿宋_GB2312" w:cs="宋体"/>
          <w:color w:val="000000"/>
          <w:kern w:val="0"/>
          <w:sz w:val="32"/>
          <w:szCs w:val="32"/>
          <w:lang w:eastAsia="zh-CN"/>
        </w:rPr>
      </w:pPr>
      <w:r>
        <w:rPr>
          <w:rFonts w:hint="eastAsia" w:ascii="仿宋_GB2312" w:hAnsi="黑体" w:eastAsia="仿宋_GB2312" w:cs="宋体"/>
          <w:color w:val="000000"/>
          <w:kern w:val="0"/>
          <w:sz w:val="32"/>
          <w:szCs w:val="32"/>
        </w:rPr>
        <w:t>7、完成突发环境事件的应急演练工作</w:t>
      </w:r>
      <w:r>
        <w:rPr>
          <w:rFonts w:hint="eastAsia" w:ascii="仿宋_GB2312" w:hAnsi="黑体" w:eastAsia="仿宋_GB2312" w:cs="宋体"/>
          <w:color w:val="000000"/>
          <w:kern w:val="0"/>
          <w:sz w:val="32"/>
          <w:szCs w:val="32"/>
          <w:lang w:eastAsia="zh-CN"/>
        </w:rPr>
        <w:t>。</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8、健全完善公司各项环境保护管理制度。宣传贯彻执行各项环境保护法律法规。</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9、开展环保污染治理工作，提高环保管理水平。</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㈡ 201</w:t>
      </w:r>
      <w:r>
        <w:rPr>
          <w:rFonts w:ascii="楷体_GB2312" w:hAnsi="黑体" w:eastAsia="楷体_GB2312" w:cs="宋体"/>
          <w:color w:val="000000"/>
          <w:kern w:val="0"/>
          <w:sz w:val="32"/>
          <w:szCs w:val="32"/>
        </w:rPr>
        <w:t>9</w:t>
      </w:r>
      <w:r>
        <w:rPr>
          <w:rFonts w:hint="eastAsia" w:ascii="楷体_GB2312" w:hAnsi="黑体" w:eastAsia="楷体_GB2312" w:cs="宋体"/>
          <w:color w:val="000000"/>
          <w:kern w:val="0"/>
          <w:sz w:val="32"/>
          <w:szCs w:val="32"/>
        </w:rPr>
        <w:t>年主要环境保护目标任务完成情况</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完成工程竣工环境保护验收工作。</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积极推进环保督查问题整改工作。</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认真加强环保设施监管，环保设施与生产设施同步运行，全年各项污染物实现达标排放。</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按照环保管理部门的要求，完成了201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年度的各项环境信息台账统计、环保税申报缴纳、企业环境信息公开等各项工作。</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完成公司20</w:t>
      </w:r>
      <w:r>
        <w:rPr>
          <w:rFonts w:ascii="仿宋_GB2312" w:hAnsi="黑体" w:eastAsia="仿宋_GB2312" w:cs="宋体"/>
          <w:color w:val="000000"/>
          <w:kern w:val="0"/>
          <w:sz w:val="32"/>
          <w:szCs w:val="32"/>
        </w:rPr>
        <w:t>20</w:t>
      </w:r>
      <w:r>
        <w:rPr>
          <w:rFonts w:hint="eastAsia" w:ascii="仿宋_GB2312" w:hAnsi="黑体" w:eastAsia="仿宋_GB2312" w:cs="宋体"/>
          <w:color w:val="000000"/>
          <w:kern w:val="0"/>
          <w:sz w:val="32"/>
          <w:szCs w:val="32"/>
        </w:rPr>
        <w:t>年自行监测方案的编制和上报，按规定开展每季度企业自行监测工作，完成环保数据和企业信息的网上公开工作。</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根据国家环保部颁布的《排污许可证管理暂行规定》，公司完成排污许可证的季度和年度执行报告的编制和上报。</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加强环保管理，迎接了省、市和区各级环保部门的监督和检查。</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按照省、市环保部门的要求，积极组织专业人员开展201</w:t>
      </w:r>
      <w:r>
        <w:rPr>
          <w:rFonts w:ascii="仿宋_GB2312" w:hAnsi="黑体" w:eastAsia="仿宋_GB2312" w:cs="宋体"/>
          <w:color w:val="000000"/>
          <w:kern w:val="0"/>
          <w:sz w:val="32"/>
          <w:szCs w:val="32"/>
        </w:rPr>
        <w:t>8</w:t>
      </w:r>
      <w:r>
        <w:rPr>
          <w:rFonts w:hint="eastAsia" w:ascii="仿宋_GB2312" w:hAnsi="黑体" w:eastAsia="仿宋_GB2312" w:cs="宋体"/>
          <w:color w:val="000000"/>
          <w:kern w:val="0"/>
          <w:sz w:val="32"/>
          <w:szCs w:val="32"/>
        </w:rPr>
        <w:t>年度企业信用评价工作的申报工作，经过各级评审，我公司被安徽省生态环境厅评为20</w:t>
      </w:r>
      <w:r>
        <w:rPr>
          <w:rFonts w:ascii="仿宋_GB2312" w:hAnsi="黑体" w:eastAsia="仿宋_GB2312" w:cs="宋体"/>
          <w:color w:val="000000"/>
          <w:kern w:val="0"/>
          <w:sz w:val="32"/>
          <w:szCs w:val="32"/>
        </w:rPr>
        <w:t>18</w:t>
      </w:r>
      <w:r>
        <w:rPr>
          <w:rFonts w:hint="eastAsia" w:ascii="仿宋_GB2312" w:hAnsi="黑体" w:eastAsia="仿宋_GB2312" w:cs="宋体"/>
          <w:color w:val="000000"/>
          <w:kern w:val="0"/>
          <w:sz w:val="32"/>
          <w:szCs w:val="32"/>
        </w:rPr>
        <w:t>年度环保诚信企业。</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组织开展环保事件应急演练，1月18日进行了次氯酸钠泄漏应急演练、6月28日进行了硫酸泄漏应急演练，检验了公司应急救援预案的可行性和可操作性，提高应急指挥、应急救援、应急配合的反应能力。</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深入</w:t>
      </w:r>
      <w:r>
        <w:rPr>
          <w:rFonts w:ascii="仿宋_GB2312" w:hAnsi="黑体" w:eastAsia="仿宋_GB2312" w:cs="宋体"/>
          <w:color w:val="000000"/>
          <w:kern w:val="0"/>
          <w:sz w:val="32"/>
          <w:szCs w:val="32"/>
        </w:rPr>
        <w:t>开展“六·五”世界环境日环保宣传活动</w:t>
      </w:r>
      <w:r>
        <w:rPr>
          <w:rFonts w:hint="eastAsia" w:ascii="仿宋_GB2312" w:hAnsi="黑体" w:eastAsia="仿宋_GB2312" w:cs="宋体"/>
          <w:color w:val="000000"/>
          <w:kern w:val="0"/>
          <w:sz w:val="32"/>
          <w:szCs w:val="32"/>
        </w:rPr>
        <w:t>。</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年配合市环境监测站等相关环保监测单位完成了监督性监测工作，各项污染物均达标排放。</w:t>
      </w:r>
    </w:p>
    <w:p>
      <w:pPr>
        <w:numPr>
          <w:ilvl w:val="0"/>
          <w:numId w:val="3"/>
        </w:numPr>
        <w:spacing w:line="560" w:lineRule="exact"/>
        <w:rPr>
          <w:rFonts w:ascii="仿宋" w:hAnsi="仿宋" w:eastAsia="仿宋"/>
          <w:sz w:val="28"/>
          <w:szCs w:val="28"/>
        </w:rPr>
      </w:pPr>
      <w:r>
        <w:rPr>
          <w:rFonts w:hint="eastAsia" w:ascii="仿宋_GB2312" w:hAnsi="黑体" w:eastAsia="仿宋_GB2312" w:cs="宋体"/>
          <w:color w:val="000000"/>
          <w:kern w:val="0"/>
          <w:sz w:val="32"/>
          <w:szCs w:val="32"/>
        </w:rPr>
        <w:t>结合《国家危险废物名录（2016版）》及我厂现场实际，编制了我厂危险废弃物清单及危险废物豁免清单；公司按照危险废物管理规定，编制完成2019年危险废物管理计划，并在环保部门备案。委托安徽人立环保科技有限公司完成我公司的废油处置工作。</w:t>
      </w:r>
    </w:p>
    <w:p>
      <w:pPr>
        <w:numPr>
          <w:ilvl w:val="0"/>
          <w:numId w:val="3"/>
        </w:numPr>
        <w:spacing w:line="560" w:lineRule="exact"/>
        <w:rPr>
          <w:rFonts w:ascii="仿宋" w:hAnsi="仿宋" w:eastAsia="仿宋"/>
          <w:sz w:val="28"/>
          <w:szCs w:val="28"/>
        </w:rPr>
      </w:pPr>
      <w:r>
        <w:rPr>
          <w:rFonts w:hint="eastAsia" w:ascii="仿宋_GB2312" w:hAnsi="黑体" w:eastAsia="仿宋_GB2312" w:cs="宋体"/>
          <w:color w:val="000000"/>
          <w:kern w:val="0"/>
          <w:sz w:val="32"/>
          <w:szCs w:val="32"/>
        </w:rPr>
        <w:t>加强对CEMS设备运行维护监管力度，确保环保数据实时上传环保部门，督促运维单位及时处理因平台故障等原因导致的数据掉包现象。组织学习贯彻执行《安徽省生态环境厅关于加强火电企业自动监控设施运行监管的通知》，并针对三家发电企业涉嫌自动监测数据弄虚作假行为事件进行了总结，配合技术部热控专业修订完善《CEMS运维管理制度》，补充了CEMS禁止停运断电、双电源切换和三级报警等相关要求。</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7月26日组织召开2019年上半年环保技术监督会议，总结上半年环保技术监督工作开展情况，指出存在的问题和整改措施，讨论下半年环保技术监督工作计划。</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对我厂进行辐射源安全情况自查。8月22日安监部与技术部对煤泥输送管道密度计放射源（放射物质为Cs-137）进行了现场检查：放射源处采用铁笼加锁管理、放射性警示标识醒目、并设有监控设施。9月11日，对照宿州市生态环境局对淮北矿业股份有限公司宿州市境内核利用单位的辐射安全清查情况，对我厂进行辐射源安全情况自查。并做好个人胸章剂量计每季度送检工作。</w:t>
      </w:r>
    </w:p>
    <w:p>
      <w:pPr>
        <w:numPr>
          <w:ilvl w:val="0"/>
          <w:numId w:val="3"/>
        </w:num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下发《关于成立环境监测站的通知》，在发电部化验班成立环境监测站，负责我厂工作场所噪声、粉尘，厂界环境噪声检测以及各类废污水的检测工作。</w:t>
      </w:r>
    </w:p>
    <w:p>
      <w:pPr>
        <w:numPr>
          <w:ilvl w:val="0"/>
          <w:numId w:val="3"/>
        </w:numPr>
        <w:spacing w:line="560" w:lineRule="exact"/>
        <w:rPr>
          <w:rFonts w:hint="eastAsia"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根据《宿州市生态环境局关于进一步加强重点污染源自动监控三个全覆盖有关工作情况的通知》，厂内安装联网自动监控视频点位12个，目前已经完成与宿州市生态环境局平台联网工作。</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㈢201</w:t>
      </w:r>
      <w:r>
        <w:rPr>
          <w:rFonts w:ascii="楷体_GB2312" w:hAnsi="黑体" w:eastAsia="楷体_GB2312" w:cs="宋体"/>
          <w:color w:val="000000"/>
          <w:kern w:val="0"/>
          <w:sz w:val="32"/>
          <w:szCs w:val="32"/>
        </w:rPr>
        <w:t>9</w:t>
      </w:r>
      <w:r>
        <w:rPr>
          <w:rFonts w:hint="eastAsia" w:ascii="楷体_GB2312" w:hAnsi="黑体" w:eastAsia="楷体_GB2312" w:cs="宋体"/>
          <w:color w:val="000000"/>
          <w:kern w:val="0"/>
          <w:sz w:val="32"/>
          <w:szCs w:val="32"/>
        </w:rPr>
        <w:t>年</w:t>
      </w:r>
      <w:r>
        <w:rPr>
          <w:rFonts w:hint="eastAsia" w:ascii="楷体_GB2312" w:hAnsi="黑体" w:eastAsia="楷体_GB2312" w:cs="宋体"/>
          <w:color w:val="000000"/>
          <w:kern w:val="0"/>
          <w:sz w:val="32"/>
          <w:szCs w:val="32"/>
          <w:lang w:val="en-US" w:eastAsia="zh-CN"/>
        </w:rPr>
        <w:t>烟气主要污染物排放情况</w:t>
      </w:r>
      <w:r>
        <w:rPr>
          <w:rFonts w:hint="eastAsia" w:ascii="楷体_GB2312" w:hAnsi="黑体" w:eastAsia="楷体_GB2312" w:cs="宋体"/>
          <w:color w:val="000000"/>
          <w:kern w:val="0"/>
          <w:sz w:val="32"/>
          <w:szCs w:val="32"/>
        </w:rPr>
        <w:t>见下表</w:t>
      </w:r>
    </w:p>
    <w:p>
      <w:pPr>
        <w:spacing w:line="560" w:lineRule="exact"/>
        <w:jc w:val="center"/>
        <w:rPr>
          <w:rFonts w:ascii="仿宋" w:hAnsi="仿宋" w:eastAsia="仿宋"/>
          <w:sz w:val="32"/>
          <w:szCs w:val="32"/>
        </w:rPr>
      </w:pPr>
      <w:r>
        <w:rPr>
          <w:rFonts w:hint="eastAsia" w:ascii="仿宋" w:hAnsi="仿宋" w:eastAsia="仿宋"/>
          <w:sz w:val="32"/>
          <w:szCs w:val="32"/>
        </w:rPr>
        <w:t>201</w:t>
      </w:r>
      <w:r>
        <w:rPr>
          <w:rFonts w:ascii="仿宋" w:hAnsi="仿宋" w:eastAsia="仿宋"/>
          <w:sz w:val="32"/>
          <w:szCs w:val="32"/>
        </w:rPr>
        <w:t>9</w:t>
      </w:r>
      <w:r>
        <w:rPr>
          <w:rFonts w:hint="eastAsia" w:ascii="仿宋" w:hAnsi="仿宋" w:eastAsia="仿宋"/>
          <w:sz w:val="32"/>
          <w:szCs w:val="32"/>
        </w:rPr>
        <w:t>年污染物排放情况表</w:t>
      </w:r>
    </w:p>
    <w:tbl>
      <w:tblPr>
        <w:tblStyle w:val="10"/>
        <w:tblW w:w="9536" w:type="dxa"/>
        <w:jc w:val="center"/>
        <w:tblInd w:w="0" w:type="dxa"/>
        <w:tblLayout w:type="fixed"/>
        <w:tblCellMar>
          <w:top w:w="0" w:type="dxa"/>
          <w:left w:w="108" w:type="dxa"/>
          <w:bottom w:w="0" w:type="dxa"/>
          <w:right w:w="108" w:type="dxa"/>
        </w:tblCellMar>
      </w:tblPr>
      <w:tblGrid>
        <w:gridCol w:w="1146"/>
        <w:gridCol w:w="1396"/>
        <w:gridCol w:w="1684"/>
        <w:gridCol w:w="1271"/>
        <w:gridCol w:w="1440"/>
        <w:gridCol w:w="1328"/>
        <w:gridCol w:w="1271"/>
      </w:tblGrid>
      <w:tr>
        <w:tblPrEx>
          <w:tblLayout w:type="fixed"/>
          <w:tblCellMar>
            <w:top w:w="0" w:type="dxa"/>
            <w:left w:w="108" w:type="dxa"/>
            <w:bottom w:w="0" w:type="dxa"/>
            <w:right w:w="108" w:type="dxa"/>
          </w:tblCellMar>
        </w:tblPrEx>
        <w:trPr>
          <w:trHeight w:val="790" w:hRule="atLeast"/>
          <w:jc w:val="center"/>
        </w:trPr>
        <w:tc>
          <w:tcPr>
            <w:tcW w:w="1146" w:type="dxa"/>
            <w:tcBorders>
              <w:top w:val="single" w:color="auto" w:sz="8" w:space="0"/>
              <w:left w:val="single" w:color="auto" w:sz="8" w:space="0"/>
              <w:bottom w:val="single" w:color="auto" w:sz="8" w:space="0"/>
              <w:right w:val="single" w:color="auto" w:sz="8" w:space="0"/>
            </w:tcBorders>
            <w:shd w:val="clear" w:color="000000" w:fill="FFFFFF"/>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201</w:t>
            </w:r>
            <w:r>
              <w:rPr>
                <w:rFonts w:ascii="宋体" w:hAnsi="宋体" w:eastAsia="宋体" w:cs="宋体"/>
                <w:color w:val="000000"/>
                <w:kern w:val="0"/>
                <w:sz w:val="24"/>
                <w:szCs w:val="24"/>
              </w:rPr>
              <w:t>9</w:t>
            </w:r>
            <w:r>
              <w:rPr>
                <w:rFonts w:hint="eastAsia" w:ascii="宋体" w:hAnsi="宋体" w:eastAsia="宋体" w:cs="宋体"/>
                <w:color w:val="000000"/>
                <w:kern w:val="0"/>
                <w:sz w:val="24"/>
                <w:szCs w:val="24"/>
              </w:rPr>
              <w:t>年</w:t>
            </w:r>
          </w:p>
        </w:tc>
        <w:tc>
          <w:tcPr>
            <w:tcW w:w="1396" w:type="dxa"/>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烟尘排放浓度 (mg/m3）</w:t>
            </w:r>
          </w:p>
        </w:tc>
        <w:tc>
          <w:tcPr>
            <w:tcW w:w="1684" w:type="dxa"/>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烟尘排放量</w:t>
            </w:r>
          </w:p>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(吨）</w:t>
            </w:r>
          </w:p>
        </w:tc>
        <w:tc>
          <w:tcPr>
            <w:tcW w:w="1271" w:type="dxa"/>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SO2排放浓度</w:t>
            </w:r>
          </w:p>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(mg/m3）</w:t>
            </w:r>
          </w:p>
        </w:tc>
        <w:tc>
          <w:tcPr>
            <w:tcW w:w="1440" w:type="dxa"/>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SO2排放量</w:t>
            </w:r>
          </w:p>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(吨）</w:t>
            </w:r>
          </w:p>
        </w:tc>
        <w:tc>
          <w:tcPr>
            <w:tcW w:w="1328" w:type="dxa"/>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NOX排放浓度</w:t>
            </w:r>
          </w:p>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(mg/m3）</w:t>
            </w:r>
          </w:p>
        </w:tc>
        <w:tc>
          <w:tcPr>
            <w:tcW w:w="1271" w:type="dxa"/>
            <w:tcBorders>
              <w:top w:val="single" w:color="auto" w:sz="8" w:space="0"/>
              <w:left w:val="nil"/>
              <w:bottom w:val="single" w:color="auto" w:sz="8" w:space="0"/>
              <w:right w:val="single" w:color="auto" w:sz="8" w:space="0"/>
            </w:tcBorders>
            <w:shd w:val="clear" w:color="000000" w:fill="FFFFFF"/>
            <w:vAlign w:val="center"/>
          </w:tcPr>
          <w:p>
            <w:pPr>
              <w:widowControl/>
              <w:jc w:val="center"/>
              <w:rPr>
                <w:rFonts w:ascii="宋体" w:hAnsi="宋体" w:eastAsia="宋体" w:cs="宋体"/>
                <w:b/>
                <w:bCs/>
                <w:color w:val="000000"/>
                <w:kern w:val="0"/>
                <w:sz w:val="24"/>
                <w:szCs w:val="24"/>
              </w:rPr>
            </w:pPr>
            <w:r>
              <w:rPr>
                <w:rFonts w:hint="eastAsia" w:ascii="宋体" w:hAnsi="宋体" w:eastAsia="宋体" w:cs="宋体"/>
                <w:b/>
                <w:bCs/>
                <w:color w:val="000000"/>
                <w:kern w:val="0"/>
                <w:sz w:val="24"/>
                <w:szCs w:val="24"/>
              </w:rPr>
              <w:t>NOX排放量(吨）</w:t>
            </w:r>
          </w:p>
        </w:tc>
      </w:tr>
      <w:tr>
        <w:tblPrEx>
          <w:tblLayout w:type="fixed"/>
          <w:tblCellMar>
            <w:top w:w="0" w:type="dxa"/>
            <w:left w:w="108" w:type="dxa"/>
            <w:bottom w:w="0" w:type="dxa"/>
            <w:right w:w="108" w:type="dxa"/>
          </w:tblCellMar>
        </w:tblPrEx>
        <w:trPr>
          <w:trHeight w:val="535" w:hRule="atLeast"/>
          <w:jc w:val="center"/>
        </w:trPr>
        <w:tc>
          <w:tcPr>
            <w:tcW w:w="1146"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#1机组</w:t>
            </w:r>
          </w:p>
        </w:tc>
        <w:tc>
          <w:tcPr>
            <w:tcW w:w="139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5.20</w:t>
            </w:r>
          </w:p>
        </w:tc>
        <w:tc>
          <w:tcPr>
            <w:tcW w:w="1684"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24.82</w:t>
            </w:r>
          </w:p>
        </w:tc>
        <w:tc>
          <w:tcPr>
            <w:tcW w:w="1271"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15.39 </w:t>
            </w:r>
          </w:p>
        </w:tc>
        <w:tc>
          <w:tcPr>
            <w:tcW w:w="1440"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77.04</w:t>
            </w:r>
          </w:p>
        </w:tc>
        <w:tc>
          <w:tcPr>
            <w:tcW w:w="1328"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30.61 </w:t>
            </w:r>
          </w:p>
        </w:tc>
        <w:tc>
          <w:tcPr>
            <w:tcW w:w="1271"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148.95</w:t>
            </w:r>
          </w:p>
        </w:tc>
      </w:tr>
      <w:tr>
        <w:tblPrEx>
          <w:tblLayout w:type="fixed"/>
          <w:tblCellMar>
            <w:top w:w="0" w:type="dxa"/>
            <w:left w:w="108" w:type="dxa"/>
            <w:bottom w:w="0" w:type="dxa"/>
            <w:right w:w="108" w:type="dxa"/>
          </w:tblCellMar>
        </w:tblPrEx>
        <w:trPr>
          <w:trHeight w:val="535" w:hRule="atLeast"/>
          <w:jc w:val="center"/>
        </w:trPr>
        <w:tc>
          <w:tcPr>
            <w:tcW w:w="1146" w:type="dxa"/>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#2机组</w:t>
            </w:r>
          </w:p>
        </w:tc>
        <w:tc>
          <w:tcPr>
            <w:tcW w:w="1396"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4.66</w:t>
            </w:r>
          </w:p>
        </w:tc>
        <w:tc>
          <w:tcPr>
            <w:tcW w:w="1684"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21.99</w:t>
            </w:r>
          </w:p>
        </w:tc>
        <w:tc>
          <w:tcPr>
            <w:tcW w:w="1271"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14.61 </w:t>
            </w:r>
          </w:p>
        </w:tc>
        <w:tc>
          <w:tcPr>
            <w:tcW w:w="1440"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72.59</w:t>
            </w:r>
          </w:p>
        </w:tc>
        <w:tc>
          <w:tcPr>
            <w:tcW w:w="1328"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27.53 </w:t>
            </w:r>
          </w:p>
        </w:tc>
        <w:tc>
          <w:tcPr>
            <w:tcW w:w="1271" w:type="dxa"/>
            <w:tcBorders>
              <w:top w:val="nil"/>
              <w:left w:val="nil"/>
              <w:bottom w:val="single" w:color="auto" w:sz="8" w:space="0"/>
              <w:right w:val="single" w:color="auto" w:sz="8" w:space="0"/>
            </w:tcBorders>
            <w:shd w:val="clear" w:color="auto" w:fill="auto"/>
            <w:noWrap/>
            <w:vAlign w:val="center"/>
          </w:tcPr>
          <w:p>
            <w:pPr>
              <w:widowControl/>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128.31</w:t>
            </w:r>
          </w:p>
        </w:tc>
      </w:tr>
    </w:tbl>
    <w:p>
      <w:pPr>
        <w:widowControl/>
        <w:spacing w:line="580" w:lineRule="exact"/>
        <w:rPr>
          <w:rFonts w:ascii="方正黑体_GBK" w:hAnsi="黑体" w:eastAsia="方正黑体_GBK" w:cs="宋体"/>
          <w:color w:val="000000"/>
          <w:kern w:val="0"/>
          <w:sz w:val="32"/>
          <w:szCs w:val="32"/>
        </w:rPr>
      </w:pPr>
      <w:r>
        <w:rPr>
          <w:rFonts w:hint="eastAsia" w:ascii="方正黑体_GBK" w:hAnsi="黑体" w:eastAsia="方正黑体_GBK" w:cs="宋体"/>
          <w:color w:val="000000"/>
          <w:kern w:val="0"/>
          <w:sz w:val="32"/>
          <w:szCs w:val="32"/>
        </w:rPr>
        <w:t>五、能源消耗及节能情况</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㈠ 主要原材料、能源消耗情况</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1、2019年主要原材料消耗情况</w:t>
      </w:r>
    </w:p>
    <w:p>
      <w:pPr>
        <w:spacing w:line="560" w:lineRule="exact"/>
        <w:ind w:firstLine="566" w:firstLineChars="177"/>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 xml:space="preserve">我公司生产产品主要消耗的原材料为石灰石及尿素，主要原材料消耗情况见下表。      </w:t>
      </w:r>
    </w:p>
    <w:p>
      <w:pPr>
        <w:spacing w:line="560" w:lineRule="exact"/>
        <w:jc w:val="center"/>
        <w:rPr>
          <w:rFonts w:ascii="仿宋" w:hAnsi="仿宋" w:eastAsia="仿宋"/>
          <w:sz w:val="28"/>
          <w:szCs w:val="28"/>
        </w:rPr>
      </w:pPr>
      <w:r>
        <w:rPr>
          <w:rFonts w:hint="eastAsia" w:ascii="仿宋_GB2312" w:hAnsi="黑体" w:eastAsia="仿宋_GB2312" w:cs="宋体"/>
          <w:color w:val="000000"/>
          <w:kern w:val="0"/>
          <w:sz w:val="32"/>
          <w:szCs w:val="32"/>
        </w:rPr>
        <w:t>2019年主要原材料消耗统计表</w:t>
      </w:r>
    </w:p>
    <w:tbl>
      <w:tblPr>
        <w:tblStyle w:val="10"/>
        <w:tblW w:w="7474" w:type="dxa"/>
        <w:tblInd w:w="959" w:type="dxa"/>
        <w:tblLayout w:type="fixed"/>
        <w:tblCellMar>
          <w:top w:w="0" w:type="dxa"/>
          <w:left w:w="108" w:type="dxa"/>
          <w:bottom w:w="0" w:type="dxa"/>
          <w:right w:w="108" w:type="dxa"/>
        </w:tblCellMar>
      </w:tblPr>
      <w:tblGrid>
        <w:gridCol w:w="1520"/>
        <w:gridCol w:w="1843"/>
        <w:gridCol w:w="1559"/>
        <w:gridCol w:w="1418"/>
        <w:gridCol w:w="1134"/>
      </w:tblGrid>
      <w:tr>
        <w:tblPrEx>
          <w:tblLayout w:type="fixed"/>
          <w:tblCellMar>
            <w:top w:w="0" w:type="dxa"/>
            <w:left w:w="108" w:type="dxa"/>
            <w:bottom w:w="0" w:type="dxa"/>
            <w:right w:w="108" w:type="dxa"/>
          </w:tblCellMar>
        </w:tblPrEx>
        <w:trPr>
          <w:trHeight w:val="280" w:hRule="atLeast"/>
        </w:trPr>
        <w:tc>
          <w:tcPr>
            <w:tcW w:w="15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序号</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原材料名称</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单 位</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数 量</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来 源</w:t>
            </w:r>
          </w:p>
        </w:tc>
      </w:tr>
      <w:tr>
        <w:tblPrEx>
          <w:tblLayout w:type="fixed"/>
          <w:tblCellMar>
            <w:top w:w="0" w:type="dxa"/>
            <w:left w:w="108" w:type="dxa"/>
            <w:bottom w:w="0" w:type="dxa"/>
            <w:right w:w="108" w:type="dxa"/>
          </w:tblCellMar>
        </w:tblPrEx>
        <w:trPr>
          <w:trHeight w:val="280" w:hRule="atLeast"/>
        </w:trPr>
        <w:tc>
          <w:tcPr>
            <w:tcW w:w="15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石灰石</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吨/年</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32024</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外购</w:t>
            </w:r>
          </w:p>
        </w:tc>
      </w:tr>
      <w:tr>
        <w:tblPrEx>
          <w:tblLayout w:type="fixed"/>
          <w:tblCellMar>
            <w:top w:w="0" w:type="dxa"/>
            <w:left w:w="108" w:type="dxa"/>
            <w:bottom w:w="0" w:type="dxa"/>
            <w:right w:w="108" w:type="dxa"/>
          </w:tblCellMar>
        </w:tblPrEx>
        <w:trPr>
          <w:trHeight w:val="280" w:hRule="atLeast"/>
        </w:trPr>
        <w:tc>
          <w:tcPr>
            <w:tcW w:w="15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w:t>
            </w:r>
          </w:p>
        </w:tc>
        <w:tc>
          <w:tcPr>
            <w:tcW w:w="1843"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尿素</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吨/年</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1350.9</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外购</w:t>
            </w:r>
          </w:p>
        </w:tc>
      </w:tr>
    </w:tbl>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2、2019年主要资源、能源消耗情况</w:t>
      </w:r>
    </w:p>
    <w:p>
      <w:pPr>
        <w:spacing w:line="560" w:lineRule="exact"/>
        <w:ind w:firstLine="566" w:firstLineChars="177"/>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我公司生产过程是能源转换过程，主要消耗的资源、能源为原煤、原水等。2019年的消耗情况见下表。</w:t>
      </w:r>
    </w:p>
    <w:p>
      <w:pPr>
        <w:spacing w:line="560" w:lineRule="exact"/>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2019年主要能源消耗统计表</w:t>
      </w:r>
    </w:p>
    <w:tbl>
      <w:tblPr>
        <w:tblStyle w:val="10"/>
        <w:tblW w:w="8041" w:type="dxa"/>
        <w:tblInd w:w="675" w:type="dxa"/>
        <w:tblLayout w:type="fixed"/>
        <w:tblCellMar>
          <w:top w:w="0" w:type="dxa"/>
          <w:left w:w="108" w:type="dxa"/>
          <w:bottom w:w="0" w:type="dxa"/>
          <w:right w:w="108" w:type="dxa"/>
        </w:tblCellMar>
      </w:tblPr>
      <w:tblGrid>
        <w:gridCol w:w="1096"/>
        <w:gridCol w:w="1701"/>
        <w:gridCol w:w="1559"/>
        <w:gridCol w:w="1701"/>
        <w:gridCol w:w="1984"/>
      </w:tblGrid>
      <w:tr>
        <w:tblPrEx>
          <w:tblLayout w:type="fixed"/>
          <w:tblCellMar>
            <w:top w:w="0" w:type="dxa"/>
            <w:left w:w="108" w:type="dxa"/>
            <w:bottom w:w="0" w:type="dxa"/>
            <w:right w:w="108" w:type="dxa"/>
          </w:tblCellMar>
        </w:tblPrEx>
        <w:trPr>
          <w:trHeight w:val="328" w:hRule="atLeast"/>
        </w:trPr>
        <w:tc>
          <w:tcPr>
            <w:tcW w:w="10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序号</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能源名称</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单 位</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数 量</w:t>
            </w: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来 源</w:t>
            </w:r>
          </w:p>
        </w:tc>
      </w:tr>
      <w:tr>
        <w:tblPrEx>
          <w:tblLayout w:type="fixed"/>
          <w:tblCellMar>
            <w:top w:w="0" w:type="dxa"/>
            <w:left w:w="108" w:type="dxa"/>
            <w:bottom w:w="0" w:type="dxa"/>
            <w:right w:w="108" w:type="dxa"/>
          </w:tblCellMar>
        </w:tblPrEx>
        <w:trPr>
          <w:trHeight w:val="328" w:hRule="atLeast"/>
        </w:trPr>
        <w:tc>
          <w:tcPr>
            <w:tcW w:w="109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1</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原煤</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万吨/年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162.2762</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外购</w:t>
            </w:r>
          </w:p>
        </w:tc>
      </w:tr>
      <w:tr>
        <w:tblPrEx>
          <w:tblLayout w:type="fixed"/>
          <w:tblCellMar>
            <w:top w:w="0" w:type="dxa"/>
            <w:left w:w="108" w:type="dxa"/>
            <w:bottom w:w="0" w:type="dxa"/>
            <w:right w:w="108" w:type="dxa"/>
          </w:tblCellMar>
        </w:tblPrEx>
        <w:trPr>
          <w:trHeight w:val="328" w:hRule="atLeast"/>
        </w:trPr>
        <w:tc>
          <w:tcPr>
            <w:tcW w:w="109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2</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原水</w:t>
            </w:r>
          </w:p>
        </w:tc>
        <w:tc>
          <w:tcPr>
            <w:tcW w:w="1559"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万吨/年</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541.68</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城市中水</w:t>
            </w:r>
          </w:p>
        </w:tc>
      </w:tr>
    </w:tbl>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㈡ 温室气体排放情况</w:t>
      </w:r>
    </w:p>
    <w:p>
      <w:pPr>
        <w:ind w:firstLine="707" w:firstLineChars="221"/>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2019年公司使用燃煤锅炉全年消耗原煤量162.2762万吨，按照发电企业温室气体核算方法，全年所产生的温室气体：二氧化碳3117933吨，具体排放情况见下表。</w:t>
      </w:r>
    </w:p>
    <w:p>
      <w:pPr>
        <w:spacing w:line="560" w:lineRule="exact"/>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2019年温室气体排放情况表</w:t>
      </w:r>
    </w:p>
    <w:tbl>
      <w:tblPr>
        <w:tblStyle w:val="10"/>
        <w:tblW w:w="9039" w:type="dxa"/>
        <w:tblInd w:w="0" w:type="dxa"/>
        <w:tblLayout w:type="fixed"/>
        <w:tblCellMar>
          <w:top w:w="0" w:type="dxa"/>
          <w:left w:w="108" w:type="dxa"/>
          <w:bottom w:w="0" w:type="dxa"/>
          <w:right w:w="108" w:type="dxa"/>
        </w:tblCellMar>
      </w:tblPr>
      <w:tblGrid>
        <w:gridCol w:w="1951"/>
        <w:gridCol w:w="1985"/>
        <w:gridCol w:w="1984"/>
        <w:gridCol w:w="3119"/>
      </w:tblGrid>
      <w:tr>
        <w:tblPrEx>
          <w:tblLayout w:type="fixed"/>
          <w:tblCellMar>
            <w:top w:w="0" w:type="dxa"/>
            <w:left w:w="108" w:type="dxa"/>
            <w:bottom w:w="0" w:type="dxa"/>
            <w:right w:w="108" w:type="dxa"/>
          </w:tblCellMar>
        </w:tblPrEx>
        <w:trPr>
          <w:trHeight w:val="540" w:hRule="atLeast"/>
        </w:trPr>
        <w:tc>
          <w:tcPr>
            <w:tcW w:w="19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原煤消耗量（t/a）</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温室气体名称</w:t>
            </w: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产生量（t/a）</w:t>
            </w:r>
          </w:p>
        </w:tc>
        <w:tc>
          <w:tcPr>
            <w:tcW w:w="311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备注</w:t>
            </w:r>
          </w:p>
        </w:tc>
      </w:tr>
      <w:tr>
        <w:tblPrEx>
          <w:tblLayout w:type="fixed"/>
          <w:tblCellMar>
            <w:top w:w="0" w:type="dxa"/>
            <w:left w:w="108" w:type="dxa"/>
            <w:bottom w:w="0" w:type="dxa"/>
            <w:right w:w="108" w:type="dxa"/>
          </w:tblCellMar>
        </w:tblPrEx>
        <w:trPr>
          <w:trHeight w:val="840" w:hRule="atLeast"/>
        </w:trPr>
        <w:tc>
          <w:tcPr>
            <w:tcW w:w="195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1622762</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宋体" w:eastAsia="仿宋_GB2312" w:cs="宋体"/>
                <w:color w:val="000000"/>
                <w:kern w:val="0"/>
                <w:sz w:val="28"/>
                <w:szCs w:val="28"/>
              </w:rPr>
            </w:pPr>
            <w:r>
              <w:rPr>
                <w:rFonts w:hint="eastAsia" w:ascii="仿宋_GB2312" w:hAnsi="宋体" w:eastAsia="仿宋_GB2312" w:cs="宋体"/>
                <w:color w:val="000000"/>
                <w:kern w:val="0"/>
                <w:sz w:val="28"/>
                <w:szCs w:val="28"/>
              </w:rPr>
              <w:t>二氧化碳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3117933</w:t>
            </w:r>
          </w:p>
        </w:tc>
        <w:tc>
          <w:tcPr>
            <w:tcW w:w="311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eastAsia="宋体" w:cs="宋体"/>
                <w:color w:val="000000"/>
                <w:kern w:val="0"/>
                <w:sz w:val="28"/>
                <w:szCs w:val="28"/>
              </w:rPr>
            </w:pPr>
            <w:r>
              <w:rPr>
                <w:rFonts w:hint="eastAsia" w:ascii="仿宋_GB2312" w:hAnsi="宋体" w:eastAsia="仿宋_GB2312" w:cs="宋体"/>
                <w:color w:val="000000"/>
                <w:kern w:val="0"/>
                <w:sz w:val="28"/>
                <w:szCs w:val="28"/>
              </w:rPr>
              <w:t>根据</w:t>
            </w:r>
            <w:r>
              <w:rPr>
                <w:rFonts w:hint="eastAsia" w:ascii="仿宋_GB2312" w:hAnsi="黑体" w:eastAsia="仿宋_GB2312" w:cs="宋体"/>
                <w:color w:val="000000"/>
                <w:kern w:val="0"/>
                <w:sz w:val="32"/>
                <w:szCs w:val="32"/>
              </w:rPr>
              <w:t>《中国发电企业温室气体核算方法与报告指南》</w:t>
            </w:r>
            <w:r>
              <w:rPr>
                <w:rFonts w:hint="eastAsia" w:ascii="仿宋_GB2312" w:hAnsi="宋体" w:eastAsia="仿宋_GB2312" w:cs="宋体"/>
                <w:color w:val="000000"/>
                <w:kern w:val="0"/>
                <w:sz w:val="28"/>
                <w:szCs w:val="28"/>
              </w:rPr>
              <w:t>核算</w:t>
            </w:r>
          </w:p>
        </w:tc>
      </w:tr>
    </w:tbl>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㈢ 企业环保活动及环境、经济效益</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1、2019年顺利通过工程竣工环境保护验收。</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年按时足额缴纳了环保税。</w:t>
      </w:r>
    </w:p>
    <w:p>
      <w:pPr>
        <w:spacing w:line="560" w:lineRule="exact"/>
        <w:rPr>
          <w:rFonts w:ascii="方正黑体_GBK" w:hAnsi="黑体" w:eastAsia="方正黑体_GBK" w:cs="宋体"/>
          <w:color w:val="000000"/>
          <w:kern w:val="0"/>
          <w:sz w:val="32"/>
          <w:szCs w:val="32"/>
        </w:rPr>
      </w:pPr>
      <w:r>
        <w:rPr>
          <w:rFonts w:hint="eastAsia" w:ascii="仿宋_GB2312" w:hAnsi="黑体" w:eastAsia="仿宋_GB2312" w:cs="宋体"/>
          <w:color w:val="000000"/>
          <w:kern w:val="0"/>
          <w:sz w:val="32"/>
          <w:szCs w:val="32"/>
        </w:rPr>
        <w:t>3、201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年参加了安徽省环保厅组织的“环保诚信企业考核评选”活动，我公司评定为环保诚信企业。</w:t>
      </w:r>
    </w:p>
    <w:p>
      <w:pPr>
        <w:widowControl/>
        <w:spacing w:line="580" w:lineRule="exact"/>
        <w:jc w:val="left"/>
        <w:rPr>
          <w:rFonts w:ascii="方正黑体_GBK" w:hAnsi="黑体" w:eastAsia="方正黑体_GBK" w:cs="宋体"/>
          <w:color w:val="000000"/>
          <w:kern w:val="0"/>
          <w:sz w:val="32"/>
          <w:szCs w:val="32"/>
        </w:rPr>
      </w:pPr>
      <w:r>
        <w:rPr>
          <w:rFonts w:hint="eastAsia" w:ascii="方正黑体_GBK" w:hAnsi="黑体" w:eastAsia="方正黑体_GBK" w:cs="宋体"/>
          <w:color w:val="000000"/>
          <w:kern w:val="0"/>
          <w:sz w:val="32"/>
          <w:szCs w:val="32"/>
        </w:rPr>
        <w:t>六、降低环境负荷的措施与绩效</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㈠ 产品节能降耗</w:t>
      </w:r>
    </w:p>
    <w:p>
      <w:pPr>
        <w:spacing w:line="560" w:lineRule="exac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1、节能措施</w:t>
      </w:r>
    </w:p>
    <w:p>
      <w:pPr>
        <w:spacing w:line="500" w:lineRule="exact"/>
        <w:ind w:firstLine="640" w:firstLineChars="200"/>
        <w:rPr>
          <w:rFonts w:ascii="仿宋_GB2312" w:hAnsi="黑体" w:eastAsia="仿宋_GB2312" w:cs="宋体"/>
          <w:color w:val="000000" w:themeColor="text1"/>
          <w:kern w:val="0"/>
          <w:sz w:val="32"/>
          <w:szCs w:val="32"/>
          <w14:textFill>
            <w14:solidFill>
              <w14:schemeClr w14:val="tx1"/>
            </w14:solidFill>
          </w14:textFill>
        </w:rPr>
      </w:pPr>
      <w:r>
        <w:rPr>
          <w:rFonts w:hint="eastAsia" w:ascii="仿宋_GB2312" w:hAnsi="黑体" w:eastAsia="仿宋_GB2312" w:cs="宋体"/>
          <w:color w:val="000000" w:themeColor="text1"/>
          <w:kern w:val="0"/>
          <w:sz w:val="32"/>
          <w:szCs w:val="32"/>
          <w14:textFill>
            <w14:solidFill>
              <w14:schemeClr w14:val="tx1"/>
            </w14:solidFill>
          </w14:textFill>
        </w:rPr>
        <w:t xml:space="preserve">（1）对全年的主要生产节能指标进行分解，定期召开节能分析会，总结节能工作任务完成情况，分析和解决运行中发现的问题，找出影响指标的设备及运行调整的问题所在，制定下一阶段工作重点，监督检查措施落实情况，确保完成年度节能经济指标。 </w:t>
      </w:r>
    </w:p>
    <w:p>
      <w:pPr>
        <w:spacing w:line="500" w:lineRule="exact"/>
        <w:ind w:firstLine="640" w:firstLineChars="200"/>
        <w:rPr>
          <w:rFonts w:ascii="仿宋_GB2312" w:hAnsi="黑体" w:eastAsia="仿宋_GB2312" w:cs="宋体"/>
          <w:color w:val="000000" w:themeColor="text1"/>
          <w:kern w:val="0"/>
          <w:sz w:val="32"/>
          <w:szCs w:val="32"/>
          <w14:textFill>
            <w14:solidFill>
              <w14:schemeClr w14:val="tx1"/>
            </w14:solidFill>
          </w14:textFill>
        </w:rPr>
      </w:pPr>
      <w:r>
        <w:rPr>
          <w:rFonts w:hint="eastAsia" w:ascii="仿宋_GB2312" w:hAnsi="黑体" w:eastAsia="仿宋_GB2312" w:cs="宋体"/>
          <w:color w:val="000000" w:themeColor="text1"/>
          <w:kern w:val="0"/>
          <w:sz w:val="32"/>
          <w:szCs w:val="32"/>
          <w14:textFill>
            <w14:solidFill>
              <w14:schemeClr w14:val="tx1"/>
            </w14:solidFill>
          </w14:textFill>
        </w:rPr>
        <w:t>（2）深入开展全国火电同类型机组能效水平对标活动，对照竞赛标准，针对薄弱项目督促提高。开展设备节能技术改造，利用机组调停检修时机，完成了机组内漏阀门集中整治工作、压缩空气系统消漏工作、持续进行真空系统找漏、消漏，定期开展真空严密性试验、根据环境温度和机组负荷，调整优化真空泵和循泵运行方式，降低厂用电率。</w:t>
      </w:r>
    </w:p>
    <w:p>
      <w:pPr>
        <w:spacing w:line="560" w:lineRule="exact"/>
        <w:rPr>
          <w:rFonts w:ascii="仿宋_GB2312" w:hAnsi="黑体" w:eastAsia="仿宋_GB2312" w:cs="宋体"/>
          <w:color w:val="000000" w:themeColor="text1"/>
          <w:kern w:val="0"/>
          <w:sz w:val="32"/>
          <w:szCs w:val="32"/>
          <w14:textFill>
            <w14:solidFill>
              <w14:schemeClr w14:val="tx1"/>
            </w14:solidFill>
          </w14:textFill>
        </w:rPr>
      </w:pPr>
      <w:r>
        <w:rPr>
          <w:rFonts w:hint="eastAsia" w:ascii="仿宋_GB2312" w:hAnsi="黑体" w:eastAsia="仿宋_GB2312" w:cs="宋体"/>
          <w:color w:val="000000" w:themeColor="text1"/>
          <w:kern w:val="0"/>
          <w:sz w:val="32"/>
          <w:szCs w:val="32"/>
          <w14:textFill>
            <w14:solidFill>
              <w14:schemeClr w14:val="tx1"/>
            </w14:solidFill>
          </w14:textFill>
        </w:rPr>
        <w:t>2、节水措施</w:t>
      </w:r>
    </w:p>
    <w:p>
      <w:pPr>
        <w:spacing w:line="500" w:lineRule="exact"/>
        <w:ind w:firstLine="640" w:firstLineChars="200"/>
        <w:rPr>
          <w:rFonts w:ascii="仿宋_GB2312" w:hAnsi="黑体" w:eastAsia="仿宋_GB2312" w:cs="宋体"/>
          <w:color w:val="000000"/>
          <w:kern w:val="0"/>
          <w:sz w:val="32"/>
          <w:szCs w:val="32"/>
        </w:rPr>
      </w:pPr>
      <w:r>
        <w:rPr>
          <w:rFonts w:hint="eastAsia" w:ascii="仿宋_GB2312" w:hAnsi="黑体" w:eastAsia="仿宋_GB2312" w:cs="宋体"/>
          <w:color w:val="000000" w:themeColor="text1"/>
          <w:kern w:val="0"/>
          <w:sz w:val="32"/>
          <w:szCs w:val="32"/>
          <w14:textFill>
            <w14:solidFill>
              <w14:schemeClr w14:val="tx1"/>
            </w14:solidFill>
          </w14:textFill>
        </w:rPr>
        <w:t>根据公司要求，为节水最大化，对公司全厂废水进行了全面梳理，并按照梯级用水取用原则制定全厂废水梯级利用，减量处理方案。制定《</w:t>
      </w:r>
      <w:r>
        <w:rPr>
          <w:rFonts w:ascii="仿宋_GB2312" w:hAnsi="黑体" w:eastAsia="仿宋_GB2312" w:cs="宋体"/>
          <w:color w:val="000000" w:themeColor="text1"/>
          <w:kern w:val="0"/>
          <w:sz w:val="32"/>
          <w:szCs w:val="32"/>
          <w14:textFill>
            <w14:solidFill>
              <w14:schemeClr w14:val="tx1"/>
            </w14:solidFill>
          </w14:textFill>
        </w:rPr>
        <w:t>节约用水管理细则</w:t>
      </w:r>
      <w:r>
        <w:rPr>
          <w:rFonts w:hint="eastAsia" w:ascii="仿宋_GB2312" w:hAnsi="黑体" w:eastAsia="仿宋_GB2312" w:cs="宋体"/>
          <w:color w:val="000000" w:themeColor="text1"/>
          <w:kern w:val="0"/>
          <w:sz w:val="32"/>
          <w:szCs w:val="32"/>
          <w14:textFill>
            <w14:solidFill>
              <w14:schemeClr w14:val="tx1"/>
            </w14:solidFill>
          </w14:textFill>
        </w:rPr>
        <w:t>》、</w:t>
      </w:r>
      <w:r>
        <w:fldChar w:fldCharType="begin"/>
      </w:r>
      <w:r>
        <w:instrText xml:space="preserve"> HYPERLINK "javascript:void(0)" </w:instrText>
      </w:r>
      <w:r>
        <w:fldChar w:fldCharType="separate"/>
      </w:r>
      <w:r>
        <w:rPr>
          <w:rFonts w:hint="eastAsia" w:ascii="仿宋_GB2312" w:hAnsi="黑体" w:eastAsia="仿宋_GB2312" w:cs="宋体"/>
          <w:color w:val="000000" w:themeColor="text1"/>
          <w:kern w:val="0"/>
          <w:sz w:val="32"/>
          <w:szCs w:val="32"/>
          <w14:textFill>
            <w14:solidFill>
              <w14:schemeClr w14:val="tx1"/>
            </w14:solidFill>
          </w14:textFill>
        </w:rPr>
        <w:t>《非生产用水、用电、用汽管理办法》</w:t>
      </w:r>
      <w:r>
        <w:rPr>
          <w:rFonts w:hint="eastAsia" w:ascii="仿宋_GB2312" w:hAnsi="黑体" w:eastAsia="仿宋_GB2312" w:cs="宋体"/>
          <w:color w:val="000000" w:themeColor="text1"/>
          <w:kern w:val="0"/>
          <w:sz w:val="32"/>
          <w:szCs w:val="32"/>
          <w14:textFill>
            <w14:solidFill>
              <w14:schemeClr w14:val="tx1"/>
            </w14:solidFill>
          </w14:textFill>
        </w:rPr>
        <w:fldChar w:fldCharType="end"/>
      </w:r>
      <w:r>
        <w:rPr>
          <w:rFonts w:hint="eastAsia" w:ascii="仿宋_GB2312" w:hAnsi="黑体" w:eastAsia="仿宋_GB2312" w:cs="宋体"/>
          <w:color w:val="000000" w:themeColor="text1"/>
          <w:kern w:val="0"/>
          <w:sz w:val="32"/>
          <w:szCs w:val="32"/>
          <w14:textFill>
            <w14:solidFill>
              <w14:schemeClr w14:val="tx1"/>
            </w14:solidFill>
          </w14:textFill>
        </w:rPr>
        <w:t>等管理制度，制定取水台账，每月对生产、生活用水情况进行分析，定期检查各部门的用水设施，监督节水措施执行情况,及时消除用水设备缺陷。细化节水过程控制指标，加强用水、用汽的计量管理，针对用水工作中存在的问题，制定改进措施，并组织实施完成。通过对水资源使用的全过程管理，有效节约全厂原水使用量。</w:t>
      </w:r>
    </w:p>
    <w:p>
      <w:pPr>
        <w:spacing w:line="560" w:lineRule="exact"/>
        <w:rPr>
          <w:rFonts w:ascii="楷体_GB2312" w:hAnsi="黑体" w:eastAsia="楷体_GB2312" w:cs="宋体"/>
          <w:color w:val="000000"/>
          <w:kern w:val="0"/>
          <w:sz w:val="32"/>
          <w:szCs w:val="32"/>
        </w:rPr>
      </w:pPr>
      <w:r>
        <w:rPr>
          <w:rFonts w:hint="eastAsia" w:ascii="楷体_GB2312" w:hAnsi="黑体" w:eastAsia="楷体_GB2312" w:cs="宋体"/>
          <w:color w:val="000000"/>
          <w:kern w:val="0"/>
          <w:sz w:val="32"/>
          <w:szCs w:val="32"/>
        </w:rPr>
        <w:t>㈡ 产品生产总量或商品销售总量</w:t>
      </w:r>
    </w:p>
    <w:p>
      <w:pPr>
        <w:ind w:firstLine="566" w:firstLineChars="177"/>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201</w:t>
      </w:r>
      <w:r>
        <w:rPr>
          <w:rFonts w:ascii="仿宋_GB2312" w:hAnsi="黑体" w:eastAsia="仿宋_GB2312" w:cs="宋体"/>
          <w:color w:val="000000"/>
          <w:kern w:val="0"/>
          <w:sz w:val="32"/>
          <w:szCs w:val="32"/>
        </w:rPr>
        <w:t>9</w:t>
      </w:r>
      <w:r>
        <w:rPr>
          <w:rFonts w:hint="eastAsia" w:ascii="仿宋_GB2312" w:hAnsi="黑体" w:eastAsia="仿宋_GB2312" w:cs="宋体"/>
          <w:color w:val="000000"/>
          <w:kern w:val="0"/>
          <w:sz w:val="32"/>
          <w:szCs w:val="32"/>
        </w:rPr>
        <w:t>年全年发电量为280862.16万kwh。</w:t>
      </w:r>
    </w:p>
    <w:p>
      <w:pPr>
        <w:widowControl/>
        <w:spacing w:line="580" w:lineRule="exact"/>
        <w:rPr>
          <w:rFonts w:ascii="方正黑体_GBK" w:hAnsi="黑体" w:eastAsia="方正黑体_GBK" w:cs="宋体"/>
          <w:color w:val="000000"/>
          <w:kern w:val="0"/>
          <w:sz w:val="32"/>
          <w:szCs w:val="32"/>
        </w:rPr>
      </w:pPr>
      <w:r>
        <w:rPr>
          <w:rFonts w:hint="eastAsia" w:ascii="方正黑体_GBK" w:hAnsi="黑体" w:eastAsia="方正黑体_GBK" w:cs="宋体"/>
          <w:color w:val="000000"/>
          <w:kern w:val="0"/>
          <w:sz w:val="32"/>
          <w:szCs w:val="32"/>
        </w:rPr>
        <w:t>七、报告寄语</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20</w:t>
      </w:r>
      <w:r>
        <w:rPr>
          <w:rFonts w:ascii="仿宋_GB2312" w:hAnsi="黑体" w:eastAsia="仿宋_GB2312" w:cs="宋体"/>
          <w:color w:val="000000"/>
          <w:kern w:val="0"/>
          <w:sz w:val="32"/>
          <w:szCs w:val="32"/>
        </w:rPr>
        <w:t>20</w:t>
      </w:r>
      <w:r>
        <w:rPr>
          <w:rFonts w:hint="eastAsia" w:ascii="仿宋_GB2312" w:hAnsi="黑体" w:eastAsia="仿宋_GB2312" w:cs="宋体"/>
          <w:color w:val="000000"/>
          <w:kern w:val="0"/>
          <w:sz w:val="32"/>
          <w:szCs w:val="32"/>
        </w:rPr>
        <w:t xml:space="preserve">年，我公司继续贯彻落实习近平生态文明思想，持之以恒抓好生态文明建设和生态环境保护，落实主体责任，加大环保工作和投入力度，扎实有效地推进环保治理工作。切实增强生态环境保护工作的责任感、使命感，坚定不移的走生态优先，绿色发展道路。我们希望通过本报告能提请社会各界对本公司予以认知和关注，同时也虚心接受社会各界的监督和帮助。  </w:t>
      </w:r>
    </w:p>
    <w:p>
      <w:pPr>
        <w:jc w:val="center"/>
        <w:rPr>
          <w:rFonts w:ascii="仿宋" w:hAnsi="仿宋" w:eastAsia="仿宋"/>
          <w:sz w:val="28"/>
          <w:szCs w:val="28"/>
        </w:rPr>
      </w:pPr>
    </w:p>
    <w:p>
      <w:pPr>
        <w:jc w:val="center"/>
        <w:rPr>
          <w:rFonts w:cs="微软雅黑" w:asciiTheme="majorEastAsia" w:hAnsiTheme="majorEastAsia" w:eastAsiaTheme="majorEastAsia"/>
          <w:color w:val="000000"/>
          <w:spacing w:val="15"/>
          <w:kern w:val="0"/>
          <w:sz w:val="28"/>
          <w:szCs w:val="28"/>
        </w:rPr>
      </w:pPr>
      <w:r>
        <w:rPr>
          <w:rFonts w:hint="eastAsia" w:ascii="仿宋" w:hAnsi="仿宋" w:eastAsia="仿宋"/>
          <w:sz w:val="28"/>
          <w:szCs w:val="28"/>
        </w:rPr>
        <w:t>安徽钱营孜发电有限公司硫酸管道泄漏应急演练方案（见附件）</w:t>
      </w:r>
    </w:p>
    <w:p>
      <w:pPr>
        <w:spacing w:line="560" w:lineRule="exact"/>
        <w:ind w:firstLine="565" w:firstLineChars="202"/>
        <w:rPr>
          <w:rFonts w:ascii="仿宋" w:hAnsi="仿宋" w:eastAsia="仿宋"/>
          <w:sz w:val="28"/>
          <w:szCs w:val="28"/>
        </w:rPr>
      </w:pPr>
    </w:p>
    <w:p>
      <w:pPr>
        <w:spacing w:line="560" w:lineRule="exact"/>
        <w:ind w:firstLine="565" w:firstLineChars="202"/>
        <w:rPr>
          <w:rFonts w:ascii="仿宋" w:hAnsi="仿宋" w:eastAsia="仿宋"/>
          <w:sz w:val="28"/>
          <w:szCs w:val="28"/>
        </w:rPr>
      </w:pPr>
    </w:p>
    <w:p>
      <w:pPr>
        <w:spacing w:line="560" w:lineRule="exact"/>
        <w:ind w:firstLine="565" w:firstLineChars="202"/>
        <w:rPr>
          <w:rFonts w:ascii="仿宋" w:hAnsi="仿宋" w:eastAsia="仿宋"/>
          <w:sz w:val="28"/>
          <w:szCs w:val="28"/>
        </w:rPr>
      </w:pPr>
    </w:p>
    <w:p>
      <w:pPr>
        <w:spacing w:line="560" w:lineRule="exact"/>
        <w:ind w:firstLine="565" w:firstLineChars="202"/>
        <w:rPr>
          <w:rFonts w:ascii="仿宋" w:hAnsi="仿宋" w:eastAsia="仿宋"/>
          <w:sz w:val="28"/>
          <w:szCs w:val="28"/>
        </w:rPr>
      </w:pPr>
    </w:p>
    <w:p>
      <w:pPr>
        <w:spacing w:line="560" w:lineRule="exact"/>
        <w:ind w:firstLine="565" w:firstLineChars="202"/>
        <w:rPr>
          <w:rFonts w:ascii="仿宋" w:hAnsi="仿宋" w:eastAsia="仿宋"/>
          <w:sz w:val="28"/>
          <w:szCs w:val="28"/>
        </w:rPr>
      </w:pPr>
    </w:p>
    <w:p>
      <w:pPr>
        <w:spacing w:line="560" w:lineRule="exact"/>
        <w:ind w:firstLine="565" w:firstLineChars="202"/>
        <w:rPr>
          <w:rFonts w:ascii="仿宋" w:hAnsi="仿宋" w:eastAsia="仿宋"/>
          <w:sz w:val="28"/>
          <w:szCs w:val="28"/>
        </w:rPr>
      </w:pPr>
    </w:p>
    <w:p>
      <w:pPr>
        <w:spacing w:line="560" w:lineRule="exact"/>
        <w:ind w:firstLine="565" w:firstLineChars="202"/>
        <w:rPr>
          <w:rFonts w:ascii="仿宋" w:hAnsi="仿宋" w:eastAsia="仿宋"/>
          <w:sz w:val="28"/>
          <w:szCs w:val="28"/>
        </w:rPr>
      </w:pPr>
    </w:p>
    <w:p>
      <w:pPr>
        <w:spacing w:line="560" w:lineRule="exact"/>
        <w:ind w:firstLine="565" w:firstLineChars="202"/>
        <w:rPr>
          <w:rFonts w:hint="eastAsia" w:ascii="仿宋" w:hAnsi="仿宋" w:eastAsia="仿宋"/>
          <w:sz w:val="28"/>
          <w:szCs w:val="28"/>
        </w:rPr>
      </w:pPr>
    </w:p>
    <w:p>
      <w:pPr>
        <w:jc w:val="left"/>
        <w:rPr>
          <w:rFonts w:ascii="黑体" w:eastAsia="黑体"/>
          <w:b/>
          <w:color w:val="000000"/>
          <w:sz w:val="36"/>
          <w:szCs w:val="36"/>
        </w:rPr>
      </w:pPr>
      <w:r>
        <w:rPr>
          <w:rFonts w:hint="eastAsia" w:ascii="黑体" w:eastAsia="黑体"/>
          <w:b/>
          <w:color w:val="000000"/>
          <w:sz w:val="36"/>
          <w:szCs w:val="36"/>
        </w:rPr>
        <w:t>附件：</w:t>
      </w:r>
    </w:p>
    <w:p>
      <w:pPr>
        <w:spacing w:before="156" w:beforeLines="50" w:after="156" w:afterLines="50"/>
        <w:jc w:val="center"/>
        <w:rPr>
          <w:b/>
          <w:color w:val="000000"/>
          <w:sz w:val="44"/>
          <w:szCs w:val="44"/>
        </w:rPr>
      </w:pPr>
      <w:r>
        <w:rPr>
          <w:b/>
          <w:color w:val="000000"/>
          <w:sz w:val="44"/>
          <w:szCs w:val="44"/>
        </w:rPr>
        <w:t>硫酸管道泄漏应急演练方案</w:t>
      </w:r>
    </w:p>
    <w:p>
      <w:pPr>
        <w:outlineLvl w:val="0"/>
        <w:rPr>
          <w:b/>
          <w:color w:val="000000"/>
          <w:sz w:val="44"/>
          <w:szCs w:val="44"/>
        </w:rPr>
      </w:pPr>
    </w:p>
    <w:p>
      <w:pPr>
        <w:outlineLvl w:val="0"/>
        <w:rPr>
          <w:b/>
          <w:color w:val="000000"/>
          <w:sz w:val="32"/>
          <w:szCs w:val="32"/>
        </w:rPr>
      </w:pPr>
      <w:r>
        <w:rPr>
          <w:b/>
          <w:color w:val="000000"/>
          <w:sz w:val="32"/>
          <w:szCs w:val="32"/>
        </w:rPr>
        <w:t>一、演练目的</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1、为迅速有效组织实施硫酸管道泄漏应急处理，保护人身和设备安全，提高相关人员正确、高效、快捷处置硫酸管道泄漏的能力，保证安徽钱营孜发电有限公司安全生产。</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2、为认真贯彻落实集团公司《关于开展2019年“安全生产月”活动的通知》精神，检验化学危险品泄漏事故现场处置方案的可行性、合理性，发现不足，及时调整，做好预防和控制工作。</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3、通过应急演练，在事故真正发生前暴露预案中的缺陷，发现应急资源的不足（包括人力、设备、物品等）。</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4、进一步明确各自的岗位与职责，提高整体应急反应能力、应急处置和协调能力，增强职工应对突发环境污染事故应急处理的信心和应急意识，提高应急人员的技能水平。</w:t>
      </w:r>
    </w:p>
    <w:p>
      <w:pPr>
        <w:outlineLvl w:val="0"/>
        <w:rPr>
          <w:b/>
          <w:color w:val="000000"/>
          <w:sz w:val="32"/>
          <w:szCs w:val="32"/>
        </w:rPr>
      </w:pPr>
      <w:r>
        <w:rPr>
          <w:b/>
          <w:color w:val="000000"/>
          <w:sz w:val="32"/>
          <w:szCs w:val="32"/>
        </w:rPr>
        <w:t>二、演练原则</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1、依法依规，统筹谋划；</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2、突出重点，讲求实效；</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3、协调配合，保证安全。</w:t>
      </w:r>
    </w:p>
    <w:p>
      <w:pPr>
        <w:outlineLvl w:val="0"/>
        <w:rPr>
          <w:color w:val="000000"/>
          <w:sz w:val="32"/>
          <w:szCs w:val="32"/>
        </w:rPr>
      </w:pPr>
      <w:r>
        <w:rPr>
          <w:b/>
          <w:color w:val="000000"/>
          <w:sz w:val="32"/>
          <w:szCs w:val="32"/>
        </w:rPr>
        <w:t>三、组织机构</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总指挥：</w:t>
      </w:r>
      <w:r>
        <w:rPr>
          <w:rFonts w:hint="eastAsia" w:ascii="仿宋_GB2312" w:hAnsi="黑体" w:eastAsia="仿宋_GB2312" w:cs="宋体"/>
          <w:color w:val="000000" w:themeColor="text1"/>
          <w:kern w:val="0"/>
          <w:sz w:val="32"/>
          <w:szCs w:val="32"/>
          <w:highlight w:val="black"/>
          <w14:textFill>
            <w14:solidFill>
              <w14:schemeClr w14:val="tx1"/>
            </w14:solidFill>
          </w14:textFill>
        </w:rPr>
        <w:t>童劲松</w:t>
      </w:r>
      <w:r>
        <w:rPr>
          <w:rFonts w:hint="eastAsia" w:ascii="仿宋_GB2312" w:hAnsi="黑体" w:eastAsia="仿宋_GB2312" w:cs="宋体"/>
          <w:color w:val="000000" w:themeColor="text1"/>
          <w:kern w:val="0"/>
          <w:sz w:val="32"/>
          <w:szCs w:val="32"/>
          <w14:textFill>
            <w14:solidFill>
              <w14:schemeClr w14:val="tx1"/>
            </w14:solidFill>
          </w14:textFill>
        </w:rPr>
        <w:t xml:space="preserve"> </w:t>
      </w:r>
      <w:r>
        <w:rPr>
          <w:rFonts w:hint="eastAsia" w:ascii="仿宋_GB2312" w:hAnsi="黑体" w:eastAsia="仿宋_GB2312" w:cs="宋体"/>
          <w:color w:val="000000"/>
          <w:kern w:val="0"/>
          <w:sz w:val="32"/>
          <w:szCs w:val="32"/>
        </w:rPr>
        <w:t xml:space="preserve">           副总指挥：</w:t>
      </w:r>
      <w:r>
        <w:rPr>
          <w:rFonts w:hint="eastAsia" w:ascii="仿宋_GB2312" w:hAnsi="黑体" w:eastAsia="仿宋_GB2312" w:cs="宋体"/>
          <w:color w:val="000000"/>
          <w:kern w:val="0"/>
          <w:sz w:val="32"/>
          <w:szCs w:val="32"/>
          <w:highlight w:val="black"/>
        </w:rPr>
        <w:t>白转成</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消防组：</w:t>
      </w:r>
      <w:r>
        <w:rPr>
          <w:rFonts w:hint="eastAsia" w:ascii="仿宋_GB2312" w:hAnsi="黑体" w:eastAsia="仿宋_GB2312" w:cs="宋体"/>
          <w:color w:val="000000"/>
          <w:kern w:val="0"/>
          <w:sz w:val="32"/>
          <w:szCs w:val="32"/>
          <w:highlight w:val="black"/>
        </w:rPr>
        <w:t>陈  鹏</w:t>
      </w:r>
      <w:r>
        <w:rPr>
          <w:rFonts w:hint="eastAsia" w:ascii="仿宋_GB2312" w:hAnsi="黑体" w:eastAsia="仿宋_GB2312" w:cs="宋体"/>
          <w:color w:val="000000"/>
          <w:kern w:val="0"/>
          <w:sz w:val="32"/>
          <w:szCs w:val="32"/>
        </w:rPr>
        <w:t xml:space="preserve">            安全监督组：</w:t>
      </w:r>
      <w:r>
        <w:rPr>
          <w:rFonts w:hint="eastAsia" w:ascii="仿宋_GB2312" w:hAnsi="黑体" w:eastAsia="仿宋_GB2312" w:cs="宋体"/>
          <w:color w:val="000000"/>
          <w:kern w:val="0"/>
          <w:sz w:val="32"/>
          <w:szCs w:val="32"/>
          <w:highlight w:val="black"/>
        </w:rPr>
        <w:t>宋高伟、高黄海</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救护组：</w:t>
      </w:r>
      <w:r>
        <w:rPr>
          <w:rFonts w:hint="eastAsia" w:ascii="仿宋_GB2312" w:hAnsi="黑体" w:eastAsia="仿宋_GB2312" w:cs="宋体"/>
          <w:color w:val="000000"/>
          <w:kern w:val="0"/>
          <w:sz w:val="32"/>
          <w:szCs w:val="32"/>
          <w:highlight w:val="black"/>
        </w:rPr>
        <w:t xml:space="preserve">李  迎  </w:t>
      </w:r>
      <w:r>
        <w:rPr>
          <w:rFonts w:hint="eastAsia" w:ascii="仿宋_GB2312" w:hAnsi="黑体" w:eastAsia="仿宋_GB2312" w:cs="宋体"/>
          <w:color w:val="000000"/>
          <w:kern w:val="0"/>
          <w:sz w:val="32"/>
          <w:szCs w:val="32"/>
        </w:rPr>
        <w:t xml:space="preserve">          现场指挥：演练值值长</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演练值：三  值            监护值：四  值</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演练评价组：</w:t>
      </w:r>
      <w:r>
        <w:rPr>
          <w:rFonts w:hint="eastAsia" w:ascii="仿宋_GB2312" w:hAnsi="黑体" w:eastAsia="仿宋_GB2312" w:cs="宋体"/>
          <w:color w:val="000000"/>
          <w:kern w:val="0"/>
          <w:sz w:val="32"/>
          <w:szCs w:val="32"/>
          <w:highlight w:val="black"/>
        </w:rPr>
        <w:t>程  杰、王宗喜、印国胜、王  欣、张学红</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技术支持组：发电部、技术支持部和皖检项目部化学专业专工</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参演人员：发电部三值、四值值长及化学运行人员、</w:t>
      </w:r>
      <w:r>
        <w:rPr>
          <w:rFonts w:hint="eastAsia" w:ascii="仿宋_GB2312" w:hAnsi="黑体" w:eastAsia="仿宋_GB2312" w:cs="宋体"/>
          <w:color w:val="000000"/>
          <w:kern w:val="0"/>
          <w:sz w:val="32"/>
          <w:szCs w:val="32"/>
          <w:highlight w:val="black"/>
        </w:rPr>
        <w:t>吕小军</w:t>
      </w:r>
      <w:r>
        <w:rPr>
          <w:rFonts w:hint="eastAsia" w:ascii="仿宋_GB2312" w:hAnsi="黑体" w:eastAsia="仿宋_GB2312" w:cs="宋体"/>
          <w:color w:val="000000"/>
          <w:kern w:val="0"/>
          <w:sz w:val="32"/>
          <w:szCs w:val="32"/>
        </w:rPr>
        <w:t>、皖检检修人员及消防员</w:t>
      </w:r>
    </w:p>
    <w:p>
      <w:pPr>
        <w:outlineLvl w:val="0"/>
        <w:rPr>
          <w:b/>
          <w:color w:val="000000"/>
          <w:sz w:val="32"/>
          <w:szCs w:val="32"/>
        </w:rPr>
      </w:pPr>
      <w:r>
        <w:rPr>
          <w:b/>
          <w:color w:val="000000"/>
          <w:sz w:val="32"/>
          <w:szCs w:val="32"/>
        </w:rPr>
        <w:t>四、演练时间和地点</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1、演练时间：2019年06月26日</w:t>
      </w:r>
    </w:p>
    <w:p>
      <w:pPr>
        <w:widowControl/>
        <w:spacing w:line="360" w:lineRule="auto"/>
        <w:ind w:firstLine="646" w:firstLineChars="202"/>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2、演练地点：再生水酸碱区</w:t>
      </w:r>
    </w:p>
    <w:p>
      <w:pPr>
        <w:outlineLvl w:val="0"/>
        <w:rPr>
          <w:b/>
          <w:color w:val="000000"/>
          <w:sz w:val="32"/>
          <w:szCs w:val="32"/>
        </w:rPr>
      </w:pPr>
      <w:r>
        <w:rPr>
          <w:b/>
          <w:color w:val="000000"/>
          <w:sz w:val="32"/>
          <w:szCs w:val="32"/>
        </w:rPr>
        <w:t>五、应急物资</w:t>
      </w:r>
    </w:p>
    <w:p>
      <w:pPr>
        <w:ind w:firstLine="570"/>
        <w:rPr>
          <w:color w:val="000000"/>
          <w:sz w:val="28"/>
          <w:szCs w:val="28"/>
        </w:rPr>
      </w:pPr>
      <w:r>
        <w:rPr>
          <w:rFonts w:hint="eastAsia" w:ascii="仿宋_GB2312" w:hAnsi="黑体" w:eastAsia="仿宋_GB2312" w:cs="宋体"/>
          <w:color w:val="000000"/>
          <w:kern w:val="0"/>
          <w:sz w:val="32"/>
          <w:szCs w:val="32"/>
        </w:rPr>
        <w:t>对讲机四部，急救药箱一个，警戒带一卷，防酸碱手套四副，耐酸碱工作服四套，长筒胶靴四双，橡胶手套四副以及自吸过滤式防毒面具（全面罩）四套，现场备有2%稀碱液、0.5%碳酸氢钠溶液。</w:t>
      </w:r>
    </w:p>
    <w:p>
      <w:pPr>
        <w:outlineLvl w:val="0"/>
        <w:rPr>
          <w:b/>
          <w:color w:val="000000"/>
          <w:sz w:val="32"/>
          <w:szCs w:val="32"/>
        </w:rPr>
      </w:pPr>
      <w:r>
        <w:rPr>
          <w:b/>
          <w:color w:val="000000"/>
          <w:sz w:val="32"/>
          <w:szCs w:val="32"/>
        </w:rPr>
        <w:t>六、程序安排</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1、全体参演人员准时到位，安全监督部张学红说明此次演习目的、内容和演练要求。</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2、演练总指</w:t>
      </w:r>
      <w:r>
        <w:rPr>
          <w:rFonts w:hint="eastAsia" w:ascii="仿宋_GB2312" w:hAnsi="黑体" w:eastAsia="仿宋_GB2312" w:cs="宋体"/>
          <w:color w:val="000000"/>
          <w:kern w:val="0"/>
          <w:sz w:val="32"/>
          <w:szCs w:val="32"/>
          <w:highlight w:val="none"/>
        </w:rPr>
        <w:t>挥</w:t>
      </w:r>
      <w:r>
        <w:rPr>
          <w:rFonts w:hint="eastAsia" w:ascii="仿宋_GB2312" w:hAnsi="黑体" w:eastAsia="仿宋_GB2312" w:cs="宋体"/>
          <w:color w:val="000000"/>
          <w:kern w:val="0"/>
          <w:sz w:val="32"/>
          <w:szCs w:val="32"/>
          <w:highlight w:val="black"/>
        </w:rPr>
        <w:t>童劲松</w:t>
      </w:r>
      <w:r>
        <w:rPr>
          <w:rFonts w:hint="eastAsia" w:ascii="仿宋_GB2312" w:hAnsi="黑体" w:eastAsia="仿宋_GB2312" w:cs="宋体"/>
          <w:color w:val="000000"/>
          <w:kern w:val="0"/>
          <w:sz w:val="32"/>
          <w:szCs w:val="32"/>
          <w:highlight w:val="none"/>
        </w:rPr>
        <w:t>宣</w:t>
      </w:r>
      <w:r>
        <w:rPr>
          <w:rFonts w:hint="eastAsia" w:ascii="仿宋_GB2312" w:hAnsi="黑体" w:eastAsia="仿宋_GB2312" w:cs="宋体"/>
          <w:color w:val="000000"/>
          <w:kern w:val="0"/>
          <w:sz w:val="32"/>
          <w:szCs w:val="32"/>
        </w:rPr>
        <w:t>布开始演练，参演人员逐步进行演练。</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3、演练结束后，在一楼会议室召开演练评价总结会。</w:t>
      </w:r>
    </w:p>
    <w:p>
      <w:pPr>
        <w:outlineLvl w:val="0"/>
        <w:rPr>
          <w:b/>
          <w:color w:val="000000"/>
          <w:sz w:val="32"/>
          <w:szCs w:val="32"/>
        </w:rPr>
      </w:pPr>
      <w:r>
        <w:rPr>
          <w:b/>
          <w:color w:val="000000"/>
          <w:sz w:val="32"/>
          <w:szCs w:val="32"/>
        </w:rPr>
        <w:t>七、演练要求</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1、所有参加演练的人员必须按规定时间到达演练现场，作好演练准备，对讲机频道置于演习频道（不得干扰值班人员正常通话）。</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2、进入生产现场和参加演练的人员，必须正确佩戴安全帽。演练中所有演练人员的操作必须按真实事故状态下的要求开展各项应急救援、自身保护等工作。</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3、监护人、演练人在演练中应做到全过程“一对一”监护。演练过程中所有参演人员必须严肃认真，发布操作命令、复诵应声音洪亮、清晰。</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4、演练人员在事故处理过程中可相互提示、相互补充，但监护人员不得提醒或替代演练人员操作。</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5、演练时无法进行动态操作的设备，应采用贴纸条（举牌）的形式进行模拟操作，所有操作和检修过程均只需到现场示意，口述操作，不得触及运行设备，演练人、监护人，应明确分工，防止误动运行设备。</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6、若演练过程中发生异常情况，应按公司正常事故程序开展工作，并由总指挥决定是否终止演练。</w:t>
      </w:r>
    </w:p>
    <w:p>
      <w:pPr>
        <w:ind w:firstLine="570"/>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7、演练结束后由总指挥组织对本次演练过程进行点评，将点评结果反馈到应急演练各参与单位。</w:t>
      </w:r>
    </w:p>
    <w:p>
      <w:pPr>
        <w:outlineLvl w:val="0"/>
        <w:rPr>
          <w:b/>
          <w:color w:val="000000"/>
          <w:sz w:val="32"/>
          <w:szCs w:val="32"/>
        </w:rPr>
      </w:pPr>
      <w:r>
        <w:rPr>
          <w:b/>
          <w:color w:val="000000"/>
          <w:sz w:val="32"/>
          <w:szCs w:val="32"/>
        </w:rPr>
        <w:t>八、演练形式及内容</w:t>
      </w:r>
    </w:p>
    <w:p>
      <w:pPr>
        <w:pStyle w:val="18"/>
        <w:ind w:firstLine="643"/>
        <w:jc w:val="left"/>
        <w:rPr>
          <w:rFonts w:ascii="仿宋_GB2312" w:hAnsi="黑体" w:eastAsia="仿宋_GB2312" w:cs="宋体"/>
          <w:color w:val="000000"/>
          <w:kern w:val="0"/>
          <w:sz w:val="32"/>
          <w:szCs w:val="32"/>
        </w:rPr>
      </w:pPr>
      <w:r>
        <w:rPr>
          <w:rStyle w:val="25"/>
          <w:rFonts w:hint="eastAsia" w:ascii="Times New Roman" w:hAnsi="Times New Roman" w:cs="Times New Roman"/>
          <w:sz w:val="32"/>
        </w:rPr>
        <w:t>1.</w:t>
      </w:r>
      <w:r>
        <w:rPr>
          <w:rStyle w:val="25"/>
          <w:rFonts w:ascii="Times New Roman" w:hAnsi="Times New Roman" w:cs="Times New Roman"/>
          <w:sz w:val="32"/>
        </w:rPr>
        <w:t>演练时设备工况：</w:t>
      </w:r>
      <w:r>
        <w:rPr>
          <w:rFonts w:hint="eastAsia" w:ascii="仿宋_GB2312" w:hAnsi="黑体" w:eastAsia="仿宋_GB2312" w:cs="宋体"/>
          <w:color w:val="000000"/>
          <w:kern w:val="0"/>
          <w:sz w:val="32"/>
          <w:szCs w:val="32"/>
        </w:rPr>
        <w:t>再生水酸碱区A硫酸储罐液位0.57米（储罐上限液位1.8米），液位计根部管道破损，硫酸泄漏，现场模拟紧急处理。</w:t>
      </w:r>
    </w:p>
    <w:p>
      <w:pPr>
        <w:pStyle w:val="18"/>
        <w:ind w:firstLine="643"/>
        <w:jc w:val="left"/>
        <w:rPr>
          <w:rFonts w:ascii="仿宋_GB2312" w:hAnsi="黑体" w:eastAsia="仿宋_GB2312" w:cs="宋体"/>
          <w:color w:val="000000"/>
          <w:kern w:val="0"/>
          <w:sz w:val="32"/>
          <w:szCs w:val="32"/>
        </w:rPr>
      </w:pPr>
      <w:r>
        <w:rPr>
          <w:rStyle w:val="25"/>
          <w:rFonts w:hint="eastAsia" w:ascii="Times New Roman" w:hAnsi="Times New Roman" w:cs="Times New Roman"/>
          <w:sz w:val="32"/>
        </w:rPr>
        <w:t>2.浓</w:t>
      </w:r>
      <w:r>
        <w:rPr>
          <w:rStyle w:val="25"/>
          <w:rFonts w:ascii="Times New Roman" w:hAnsi="Times New Roman" w:cs="Times New Roman"/>
          <w:sz w:val="32"/>
        </w:rPr>
        <w:t>硫酸危险特性：</w:t>
      </w:r>
      <w:r>
        <w:rPr>
          <w:rFonts w:hint="eastAsia" w:ascii="仿宋_GB2312" w:hAnsi="黑体" w:eastAsia="仿宋_GB2312" w:cs="宋体"/>
          <w:color w:val="000000"/>
          <w:kern w:val="0"/>
          <w:sz w:val="32"/>
          <w:szCs w:val="32"/>
        </w:rPr>
        <w:t>硫酸储罐储存98％硫酸，是一种具有高腐蚀性的强酸，具有强氧化性和强脱水性；外观为无色、无味、油状吸湿性液体；相对密度（水＝1）：1.8；能与水混溶；燃烧时，生成有毒烟雾（硫氧化物）；与还原性物质、可燃物质和碱发生猛烈反应；与水和有机物发生强烈反应并放出热量。腐蚀最常用的金属，生成易燃气体（氢气）。</w:t>
      </w:r>
    </w:p>
    <w:p>
      <w:pPr>
        <w:pStyle w:val="18"/>
        <w:ind w:left="420" w:leftChars="200" w:firstLine="0" w:firstLineChars="0"/>
        <w:rPr>
          <w:rStyle w:val="25"/>
          <w:rFonts w:ascii="Times New Roman" w:hAnsi="Times New Roman" w:cs="Times New Roman"/>
          <w:sz w:val="32"/>
        </w:rPr>
      </w:pPr>
      <w:r>
        <w:rPr>
          <w:rStyle w:val="25"/>
          <w:rFonts w:hint="eastAsia" w:ascii="Times New Roman" w:hAnsi="Times New Roman" w:cs="Times New Roman"/>
          <w:sz w:val="32"/>
        </w:rPr>
        <w:t>3.浓</w:t>
      </w:r>
      <w:r>
        <w:rPr>
          <w:rStyle w:val="25"/>
          <w:rFonts w:ascii="Times New Roman" w:hAnsi="Times New Roman" w:cs="Times New Roman"/>
          <w:sz w:val="32"/>
        </w:rPr>
        <w:t>硫酸</w:t>
      </w:r>
      <w:r>
        <w:rPr>
          <w:rStyle w:val="25"/>
          <w:rFonts w:hint="eastAsia" w:ascii="Times New Roman" w:hAnsi="Times New Roman" w:cs="Times New Roman"/>
          <w:sz w:val="32"/>
        </w:rPr>
        <w:t>泄漏</w:t>
      </w:r>
      <w:r>
        <w:rPr>
          <w:rStyle w:val="25"/>
          <w:rFonts w:ascii="Times New Roman" w:hAnsi="Times New Roman" w:cs="Times New Roman"/>
          <w:sz w:val="32"/>
        </w:rPr>
        <w:t>健康危害：</w:t>
      </w:r>
    </w:p>
    <w:p>
      <w:pPr>
        <w:pStyle w:val="18"/>
        <w:ind w:firstLine="64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1）浓硫酸的强脱水性对皮肤、粘膜等组织有强烈的刺激和腐蚀作用。蒸气或雾可引起结膜炎、结膜水肿、</w:t>
      </w:r>
      <w:r>
        <w:fldChar w:fldCharType="begin"/>
      </w:r>
      <w:r>
        <w:instrText xml:space="preserve"> HYPERLINK "https://www.baidu.com/s?wd=%E8%A7%92%E8%86%9C%E6%B7%B7%E6%B5%8A&amp;tn=SE_PcZhidaonwhc_ngpagmjz&amp;rsv_dl=gh_pc_zhidao" \t "_blank" </w:instrText>
      </w:r>
      <w:r>
        <w:fldChar w:fldCharType="separate"/>
      </w:r>
      <w:r>
        <w:rPr>
          <w:rFonts w:hint="eastAsia" w:ascii="仿宋_GB2312" w:hAnsi="黑体" w:eastAsia="仿宋_GB2312" w:cs="宋体"/>
          <w:color w:val="000000"/>
          <w:kern w:val="0"/>
          <w:sz w:val="32"/>
          <w:szCs w:val="32"/>
        </w:rPr>
        <w:t>角膜混浊</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，以致失明；引起呼吸道刺激，重者发生呼吸困难和</w:t>
      </w:r>
      <w:r>
        <w:fldChar w:fldCharType="begin"/>
      </w:r>
      <w:r>
        <w:instrText xml:space="preserve"> HYPERLINK "https://www.baidu.com/s?wd=%E8%82%BA%E6%B0%B4%E8%82%BF&amp;tn=SE_PcZhidaonwhc_ngpagmjz&amp;rsv_dl=gh_pc_zhidao" \t "_blank" </w:instrText>
      </w:r>
      <w:r>
        <w:fldChar w:fldCharType="separate"/>
      </w:r>
      <w:r>
        <w:rPr>
          <w:rFonts w:hint="eastAsia" w:ascii="仿宋_GB2312" w:hAnsi="黑体" w:eastAsia="仿宋_GB2312" w:cs="宋体"/>
          <w:color w:val="000000"/>
          <w:kern w:val="0"/>
          <w:sz w:val="32"/>
          <w:szCs w:val="32"/>
        </w:rPr>
        <w:t>肺水肿</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；高浓度引起</w:t>
      </w:r>
      <w:r>
        <w:fldChar w:fldCharType="begin"/>
      </w:r>
      <w:r>
        <w:instrText xml:space="preserve"> HYPERLINK "https://www.baidu.com/s?wd=%E5%96%89%E7%97%89%E6%8C%9B&amp;tn=SE_PcZhidaonwhc_ngpagmjz&amp;rsv_dl=gh_pc_zhidao" \t "_blank" </w:instrText>
      </w:r>
      <w:r>
        <w:fldChar w:fldCharType="separate"/>
      </w:r>
      <w:r>
        <w:rPr>
          <w:rFonts w:hint="eastAsia" w:ascii="仿宋_GB2312" w:hAnsi="黑体" w:eastAsia="仿宋_GB2312" w:cs="宋体"/>
          <w:color w:val="000000"/>
          <w:kern w:val="0"/>
          <w:sz w:val="32"/>
          <w:szCs w:val="32"/>
        </w:rPr>
        <w:t>喉痉挛</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或</w:t>
      </w:r>
      <w:r>
        <w:fldChar w:fldCharType="begin"/>
      </w:r>
      <w:r>
        <w:instrText xml:space="preserve"> HYPERLINK "https://www.baidu.com/s?wd=%E5%A3%B0%E9%97%A8%E6%B0%B4%E8%82%BF&amp;tn=SE_PcZhidaonwhc_ngpagmjz&amp;rsv_dl=gh_pc_zhidao" \t "_blank" </w:instrText>
      </w:r>
      <w:r>
        <w:fldChar w:fldCharType="separate"/>
      </w:r>
      <w:r>
        <w:rPr>
          <w:rFonts w:hint="eastAsia" w:ascii="仿宋_GB2312" w:hAnsi="黑体" w:eastAsia="仿宋_GB2312" w:cs="宋体"/>
          <w:color w:val="000000"/>
          <w:kern w:val="0"/>
          <w:sz w:val="32"/>
          <w:szCs w:val="32"/>
        </w:rPr>
        <w:t>声门水肿</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而窒息死亡。口服后引起消化道烧伤以致溃疡形成；严重者可能有</w:t>
      </w:r>
      <w:r>
        <w:fldChar w:fldCharType="begin"/>
      </w:r>
      <w:r>
        <w:instrText xml:space="preserve"> HYPERLINK "https://www.baidu.com/s?wd=%E8%83%83%E7%A9%BF%E5%AD%94&amp;tn=SE_PcZhidaonwhc_ngpagmjz&amp;rsv_dl=gh_pc_zhidao" \t "_blank" </w:instrText>
      </w:r>
      <w:r>
        <w:fldChar w:fldCharType="separate"/>
      </w:r>
      <w:r>
        <w:rPr>
          <w:rFonts w:hint="eastAsia" w:ascii="仿宋_GB2312" w:hAnsi="黑体" w:eastAsia="仿宋_GB2312" w:cs="宋体"/>
          <w:color w:val="000000"/>
          <w:kern w:val="0"/>
          <w:sz w:val="32"/>
          <w:szCs w:val="32"/>
        </w:rPr>
        <w:t>胃穿孔</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w:t>
      </w:r>
      <w:r>
        <w:fldChar w:fldCharType="begin"/>
      </w:r>
      <w:r>
        <w:instrText xml:space="preserve"> HYPERLINK "https://www.baidu.com/s?wd=%E8%85%B9%E8%86%9C%E7%82%8E&amp;tn=SE_PcZhidaonwhc_ngpagmjz&amp;rsv_dl=gh_pc_zhidao" \t "_blank" </w:instrText>
      </w:r>
      <w:r>
        <w:fldChar w:fldCharType="separate"/>
      </w:r>
      <w:r>
        <w:rPr>
          <w:rFonts w:hint="eastAsia" w:ascii="仿宋_GB2312" w:hAnsi="黑体" w:eastAsia="仿宋_GB2312" w:cs="宋体"/>
          <w:color w:val="000000"/>
          <w:kern w:val="0"/>
          <w:sz w:val="32"/>
          <w:szCs w:val="32"/>
        </w:rPr>
        <w:t>腹膜炎</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、肾损害、休克等。</w:t>
      </w:r>
    </w:p>
    <w:p>
      <w:pPr>
        <w:pStyle w:val="18"/>
        <w:ind w:firstLine="640"/>
        <w:jc w:val="left"/>
        <w:rPr>
          <w:rStyle w:val="25"/>
          <w:rFonts w:ascii="Times New Roman" w:hAnsi="Times New Roman" w:cs="Times New Roman"/>
          <w:b w:val="0"/>
          <w:bCs w:val="0"/>
        </w:rPr>
      </w:pPr>
      <w:r>
        <w:rPr>
          <w:rFonts w:hint="eastAsia" w:ascii="仿宋_GB2312" w:hAnsi="黑体" w:eastAsia="仿宋_GB2312" w:cs="宋体"/>
          <w:color w:val="000000"/>
          <w:kern w:val="0"/>
          <w:sz w:val="32"/>
          <w:szCs w:val="32"/>
        </w:rPr>
        <w:t>2）皮肤灼伤轻者出现红斑、重者形成溃疡，愈后癍痕收缩影响功能。溅入眼内可造成灼伤，甚至角膜穿孔、全眼炎以至失明。慢性影响：牙齿</w:t>
      </w:r>
      <w:r>
        <w:fldChar w:fldCharType="begin"/>
      </w:r>
      <w:r>
        <w:instrText xml:space="preserve"> HYPERLINK "https://www.baidu.com/s?wd=%E9%85%B8%E8%9A%80%E7%97%87&amp;tn=SE_PcZhidaonwhc_ngpagmjz&amp;rsv_dl=gh_pc_zhidao" \t "_blank" </w:instrText>
      </w:r>
      <w:r>
        <w:fldChar w:fldCharType="separate"/>
      </w:r>
      <w:r>
        <w:rPr>
          <w:rFonts w:hint="eastAsia" w:ascii="仿宋_GB2312" w:hAnsi="黑体" w:eastAsia="仿宋_GB2312" w:cs="宋体"/>
          <w:color w:val="000000"/>
          <w:kern w:val="0"/>
          <w:sz w:val="32"/>
          <w:szCs w:val="32"/>
        </w:rPr>
        <w:t>酸蚀症</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w:t>
      </w:r>
      <w:r>
        <w:fldChar w:fldCharType="begin"/>
      </w:r>
      <w:r>
        <w:instrText xml:space="preserve"> HYPERLINK "https://www.baidu.com/s?wd=%E6%85%A2%E6%80%A7%E6%94%AF%E6%B0%94%E7%AE%A1%E7%82%8E&amp;tn=SE_PcZhidaonwhc_ngpagmjz&amp;rsv_dl=gh_pc_zhidao" \t "_blank" </w:instrText>
      </w:r>
      <w:r>
        <w:fldChar w:fldCharType="separate"/>
      </w:r>
      <w:r>
        <w:rPr>
          <w:rFonts w:hint="eastAsia" w:ascii="仿宋_GB2312" w:hAnsi="黑体" w:eastAsia="仿宋_GB2312" w:cs="宋体"/>
          <w:color w:val="000000"/>
          <w:kern w:val="0"/>
          <w:sz w:val="32"/>
          <w:szCs w:val="32"/>
        </w:rPr>
        <w:t>慢性支气管炎</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w:t>
      </w:r>
      <w:r>
        <w:fldChar w:fldCharType="begin"/>
      </w:r>
      <w:r>
        <w:instrText xml:space="preserve"> HYPERLINK "https://www.baidu.com/s?wd=%E8%82%BA%E6%B0%94%E8%82%BF&amp;tn=SE_PcZhidaonwhc_ngpagmjz&amp;rsv_dl=gh_pc_zhidao" \t "_blank" </w:instrText>
      </w:r>
      <w:r>
        <w:fldChar w:fldCharType="separate"/>
      </w:r>
      <w:r>
        <w:rPr>
          <w:rFonts w:hint="eastAsia" w:ascii="仿宋_GB2312" w:hAnsi="黑体" w:eastAsia="仿宋_GB2312" w:cs="宋体"/>
          <w:color w:val="000000"/>
          <w:kern w:val="0"/>
          <w:sz w:val="32"/>
          <w:szCs w:val="32"/>
        </w:rPr>
        <w:t>肺气肿</w:t>
      </w:r>
      <w:r>
        <w:rPr>
          <w:rFonts w:hint="eastAsia" w:ascii="仿宋_GB2312" w:hAnsi="黑体" w:eastAsia="仿宋_GB2312" w:cs="宋体"/>
          <w:color w:val="000000"/>
          <w:kern w:val="0"/>
          <w:sz w:val="32"/>
          <w:szCs w:val="32"/>
        </w:rPr>
        <w:fldChar w:fldCharType="end"/>
      </w:r>
      <w:r>
        <w:rPr>
          <w:rFonts w:hint="eastAsia" w:ascii="仿宋_GB2312" w:hAnsi="黑体" w:eastAsia="仿宋_GB2312" w:cs="宋体"/>
          <w:color w:val="000000"/>
          <w:kern w:val="0"/>
          <w:sz w:val="32"/>
          <w:szCs w:val="32"/>
        </w:rPr>
        <w:t>和肺硬化。</w:t>
      </w:r>
    </w:p>
    <w:p>
      <w:pPr>
        <w:pStyle w:val="18"/>
        <w:ind w:firstLine="321" w:firstLineChars="100"/>
        <w:rPr>
          <w:rStyle w:val="25"/>
          <w:rFonts w:ascii="Times New Roman" w:hAnsi="Times New Roman" w:cs="Times New Roman"/>
          <w:b w:val="0"/>
          <w:bCs w:val="0"/>
        </w:rPr>
      </w:pPr>
      <w:r>
        <w:rPr>
          <w:rStyle w:val="25"/>
          <w:rFonts w:hint="eastAsia" w:ascii="Times New Roman" w:hAnsi="Times New Roman" w:cs="Times New Roman"/>
          <w:sz w:val="32"/>
        </w:rPr>
        <w:t>4.硫酸泄漏环境危害：</w:t>
      </w:r>
      <w:r>
        <w:rPr>
          <w:rFonts w:hint="eastAsia" w:ascii="仿宋_GB2312" w:hAnsi="黑体" w:eastAsia="仿宋_GB2312" w:cs="宋体"/>
          <w:color w:val="000000"/>
          <w:kern w:val="0"/>
          <w:sz w:val="32"/>
          <w:szCs w:val="32"/>
        </w:rPr>
        <w:t>硫酸的酸性和强腐蚀性能对环境造成严重污染。大量泄漏的硫酸流散到农田，则对农田造成污染，严重影响耕种，甚至造成农田不能使用。如果流散到河流、湖泊、水库等水域，则造成水污染，严重时该水域的水未经处理不能使用。如果流散到公路、水渠等处，则对路面和水渠造成严重污染和腐蚀损坏，必须采取有效措施进行处理。</w:t>
      </w:r>
    </w:p>
    <w:p>
      <w:pPr>
        <w:pStyle w:val="18"/>
        <w:ind w:left="420" w:leftChars="200" w:firstLine="0" w:firstLineChars="0"/>
        <w:rPr>
          <w:rStyle w:val="25"/>
          <w:rFonts w:ascii="Times New Roman" w:hAnsi="Times New Roman" w:cs="Times New Roman"/>
          <w:sz w:val="32"/>
        </w:rPr>
      </w:pPr>
      <w:r>
        <w:rPr>
          <w:rStyle w:val="25"/>
          <w:rFonts w:hint="eastAsia" w:ascii="Times New Roman" w:hAnsi="Times New Roman" w:cs="Times New Roman"/>
          <w:sz w:val="32"/>
        </w:rPr>
        <w:t>5.</w:t>
      </w:r>
      <w:r>
        <w:rPr>
          <w:rStyle w:val="25"/>
          <w:rFonts w:ascii="Times New Roman" w:hAnsi="Times New Roman" w:cs="Times New Roman"/>
          <w:sz w:val="32"/>
        </w:rPr>
        <w:t>应急处置方法：</w:t>
      </w:r>
    </w:p>
    <w:p>
      <w:pPr>
        <w:pStyle w:val="18"/>
        <w:ind w:firstLine="64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迅速撤离泄漏污染区人员到安全区，并进行隔离，严格限制出入，建议应急处理人员戴自给正压式呼吸器，穿防酸碱工作服，不要直接接触泄漏物。尽快切断泄漏源，防止进入雨水管道，小量泄漏用沙土、干燥石灰或苏打灰混合，也可用大量水冲洗，稀释后放入工业废水系统。大量泄漏:构筑围堤，用泵转移至工业废水池内处理。</w:t>
      </w:r>
    </w:p>
    <w:p>
      <w:pPr>
        <w:pStyle w:val="18"/>
        <w:ind w:firstLine="64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2）对泄漏硫酸进行稀释时，要选用喷雾水流，不能对泄漏硫酸或泄漏点直接喷水。如泄漏硫酸数量较少时，可用开花水流稀释冲洗，当水量较多时，硫酸的浓度则显著下降，腐蚀性相应降低。在稀释或冲洗泄漏硫酸时,要控制稀释或冲洗水液流散对环境的污染，一般应围堵集中处理，切不可任意四处流散。现场处理人员要穿戴好防护用品，以防灼伤。</w:t>
      </w:r>
    </w:p>
    <w:p>
      <w:pPr>
        <w:pStyle w:val="18"/>
        <w:ind w:left="420" w:leftChars="200" w:firstLine="0" w:firstLineChars="0"/>
        <w:rPr>
          <w:rStyle w:val="25"/>
          <w:rFonts w:ascii="Times New Roman" w:hAnsi="Times New Roman" w:cs="Times New Roman"/>
          <w:sz w:val="32"/>
        </w:rPr>
      </w:pPr>
      <w:r>
        <w:rPr>
          <w:rStyle w:val="25"/>
          <w:rFonts w:hint="eastAsia" w:ascii="Times New Roman" w:hAnsi="Times New Roman" w:cs="Times New Roman"/>
          <w:sz w:val="32"/>
        </w:rPr>
        <w:t>6.</w:t>
      </w:r>
      <w:r>
        <w:rPr>
          <w:rStyle w:val="25"/>
          <w:rFonts w:ascii="Times New Roman" w:hAnsi="Times New Roman" w:cs="Times New Roman"/>
          <w:sz w:val="32"/>
        </w:rPr>
        <w:t>演练内容：</w:t>
      </w:r>
    </w:p>
    <w:p>
      <w:pPr>
        <w:pStyle w:val="18"/>
        <w:ind w:firstLine="64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1）再生水酸碱区A硫酸储罐液位计根部管道破损泄漏，浓硫酸泄漏，现场模拟紧急处理；</w:t>
      </w:r>
    </w:p>
    <w:p>
      <w:pPr>
        <w:pStyle w:val="18"/>
        <w:ind w:firstLine="64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 xml:space="preserve">2)事故处理过程中一名运行人员胳膊处被灼伤，现场紧急救护。 </w:t>
      </w:r>
    </w:p>
    <w:p>
      <w:pPr>
        <w:pStyle w:val="18"/>
        <w:ind w:left="420" w:leftChars="200" w:firstLine="0" w:firstLineChars="0"/>
        <w:rPr>
          <w:rStyle w:val="25"/>
          <w:rFonts w:ascii="Times New Roman" w:hAnsi="Times New Roman" w:cs="Times New Roman"/>
          <w:b w:val="0"/>
          <w:bCs w:val="0"/>
        </w:rPr>
      </w:pPr>
      <w:r>
        <w:rPr>
          <w:rStyle w:val="25"/>
          <w:rFonts w:hint="eastAsia" w:ascii="Times New Roman" w:hAnsi="Times New Roman" w:cs="Times New Roman"/>
          <w:sz w:val="32"/>
        </w:rPr>
        <w:t>7.事故现象：</w:t>
      </w:r>
    </w:p>
    <w:p>
      <w:pPr>
        <w:pStyle w:val="18"/>
        <w:ind w:firstLine="640"/>
        <w:jc w:val="left"/>
        <w:rPr>
          <w:rFonts w:ascii="仿宋_GB2312" w:hAnsi="黑体" w:eastAsia="仿宋_GB2312" w:cs="宋体"/>
          <w:color w:val="000000"/>
          <w:kern w:val="0"/>
          <w:sz w:val="32"/>
          <w:szCs w:val="32"/>
        </w:rPr>
      </w:pPr>
      <w:r>
        <w:rPr>
          <w:rFonts w:hint="eastAsia" w:ascii="仿宋_GB2312" w:hAnsi="黑体" w:eastAsia="仿宋_GB2312" w:cs="宋体"/>
          <w:color w:val="000000"/>
          <w:kern w:val="0"/>
          <w:sz w:val="32"/>
          <w:szCs w:val="32"/>
        </w:rPr>
        <w:t>再生水酸碱区A硫酸储罐液位计根部管道破损，硫酸泄漏。</w:t>
      </w:r>
    </w:p>
    <w:p>
      <w:pPr>
        <w:pStyle w:val="18"/>
        <w:ind w:left="420" w:leftChars="200" w:firstLine="0" w:firstLineChars="0"/>
        <w:rPr>
          <w:rStyle w:val="25"/>
          <w:rFonts w:ascii="Times New Roman" w:hAnsi="Times New Roman" w:cs="Times New Roman"/>
          <w:sz w:val="32"/>
        </w:rPr>
      </w:pPr>
      <w:r>
        <w:rPr>
          <w:rStyle w:val="25"/>
          <w:rFonts w:hint="eastAsia" w:ascii="Times New Roman" w:hAnsi="Times New Roman" w:cs="Times New Roman"/>
          <w:sz w:val="32"/>
        </w:rPr>
        <w:t>8.应急演练过程及步骤：</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rPr>
        <w:t>所有参加演练的人员按规定时间到达演练现场，演练总指挥</w:t>
      </w:r>
      <w:r>
        <w:rPr>
          <w:rFonts w:hint="eastAsia" w:ascii="仿宋_GB2312" w:hAnsi="黑体" w:eastAsia="仿宋_GB2312" w:cs="宋体"/>
          <w:color w:val="000000"/>
          <w:kern w:val="0"/>
          <w:sz w:val="32"/>
          <w:szCs w:val="32"/>
          <w:highlight w:val="none"/>
        </w:rPr>
        <w:t>童劲松宣布：演练开始。</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1)化学运行人员在巡检时发现</w:t>
      </w:r>
      <w:bookmarkStart w:id="0" w:name="_Hlk11688540"/>
      <w:r>
        <w:rPr>
          <w:rFonts w:hint="eastAsia" w:ascii="仿宋_GB2312" w:hAnsi="黑体" w:eastAsia="仿宋_GB2312" w:cs="宋体"/>
          <w:color w:val="000000"/>
          <w:kern w:val="0"/>
          <w:sz w:val="32"/>
          <w:szCs w:val="32"/>
          <w:highlight w:val="none"/>
        </w:rPr>
        <w:t>再生水酸碱区A硫酸储罐液位计根部管道破损，浓硫酸泄漏，</w:t>
      </w:r>
      <w:bookmarkEnd w:id="0"/>
      <w:r>
        <w:rPr>
          <w:rFonts w:hint="eastAsia" w:ascii="仿宋_GB2312" w:hAnsi="黑体" w:eastAsia="仿宋_GB2312" w:cs="宋体"/>
          <w:color w:val="000000"/>
          <w:kern w:val="0"/>
          <w:sz w:val="32"/>
          <w:szCs w:val="32"/>
          <w:highlight w:val="none"/>
        </w:rPr>
        <w:t>现场有酸雾味，并有挥发性刺鼻气味。巡检人员对讲机向当班化学主值汇报：巡检发现再生水酸碱区A硫酸储罐附近区域冒出酸雾，浓硫酸发生泄漏。化学主值立即要求化学巡检人员返回值班室。</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2)化学主值向当班值长汇报：再生水酸碱区A硫酸储罐液位计根部管道破损，发现向外泄漏硫酸，然后电话告知皖检项目部吕小军和技术支持部任聪安排检修人员紧急处理。（现场口述）</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3)演习值长电话通知皖能运检项目部程杰、技术支持部主任王欣和安全监督部负责人王宗喜立即安排人员到现场处理再生水酸碱区A硫酸储罐液位计根部管道破损泄漏缺陷；汇报公司总工程师白转成、副总经理童劲松。（现场口述）</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4)化学主值安排两名运行人员穿戴好</w:t>
      </w:r>
      <w:bookmarkStart w:id="1" w:name="_Hlk535484944"/>
      <w:r>
        <w:rPr>
          <w:rFonts w:hint="eastAsia" w:ascii="仿宋_GB2312" w:hAnsi="黑体" w:eastAsia="仿宋_GB2312" w:cs="宋体"/>
          <w:color w:val="000000"/>
          <w:kern w:val="0"/>
          <w:sz w:val="32"/>
          <w:szCs w:val="32"/>
          <w:highlight w:val="none"/>
        </w:rPr>
        <w:t>耐酸碱工作服、长筒胶靴、橡胶手套以及自吸过滤式防毒面具（全面罩）</w:t>
      </w:r>
      <w:bookmarkEnd w:id="1"/>
      <w:r>
        <w:rPr>
          <w:rFonts w:hint="eastAsia" w:ascii="仿宋_GB2312" w:hAnsi="黑体" w:eastAsia="仿宋_GB2312" w:cs="宋体"/>
          <w:color w:val="000000"/>
          <w:kern w:val="0"/>
          <w:sz w:val="32"/>
          <w:szCs w:val="32"/>
          <w:highlight w:val="none"/>
        </w:rPr>
        <w:t>，前往再生水酸碱区A硫酸储罐区域检查处理。</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5)两名化学运行人员观察发现A硫酸储罐液位计根部管道破损，正在向外泄漏硫酸。随后化学运行人员立即用手关闭A硫酸储罐出口手动阀，并用开花水流稀释冲洗，同时观察有无其它漏点，并使用扫帚扫水进入附近导流沟中，防止硫酸溶液扩散，对环境造成污染，运行人员使用对讲机向化学主值汇报</w:t>
      </w:r>
      <w:bookmarkStart w:id="2" w:name="_Hlk535407111"/>
      <w:r>
        <w:rPr>
          <w:rFonts w:hint="eastAsia" w:ascii="仿宋_GB2312" w:hAnsi="黑体" w:eastAsia="仿宋_GB2312" w:cs="宋体"/>
          <w:color w:val="000000"/>
          <w:kern w:val="0"/>
          <w:sz w:val="32"/>
          <w:szCs w:val="32"/>
          <w:highlight w:val="none"/>
        </w:rPr>
        <w:t>。（现场口述）</w:t>
      </w:r>
    </w:p>
    <w:bookmarkEnd w:id="2"/>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6)安全监督部负责人王宗喜通知消防专职陈鹏，立即带领消防员处理再生水酸碱区A硫酸储罐液位计根部管道破损泄漏事故，陈鹏带领消防员乘坐消防车迅速赶到现场，消防员穿戴好正压式空气呼吸器，使用消防车水源（必要时可使用附近消火栓水源），接引消防水管，在上风口处使用喷雾水流，采用间接方式对泄漏点喷水，冲洗现场残存废液，陈鹏现场检查现场硫酸废液漫流情况，必要时使用消防铲用土加设围堰，确保硫酸废液不进入雨水系统。</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7)皖检项目部吕小军带领两名检修人员、技术支持部任聪赶到现场检查后，立即安排两名检修人员穿戴好耐酸碱工作服、长筒胶靴、橡胶手套以及自吸过滤式防毒面具（全面罩），将再生水酸碱区A硫酸储罐区域使用警戒带隔离，迅速处理硫酸泄漏缺陷。</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8)发电部负责人印国胜、安全监督部负责人王宗喜、技术支持部负责人王欣、皖能运检项目部经理程杰、公司总工程师白转成、</w:t>
      </w:r>
      <w:bookmarkStart w:id="3" w:name="_Hlk535486511"/>
      <w:r>
        <w:rPr>
          <w:rFonts w:hint="eastAsia" w:ascii="仿宋_GB2312" w:hAnsi="黑体" w:eastAsia="仿宋_GB2312" w:cs="宋体"/>
          <w:color w:val="000000"/>
          <w:kern w:val="0"/>
          <w:sz w:val="32"/>
          <w:szCs w:val="32"/>
          <w:highlight w:val="none"/>
        </w:rPr>
        <w:t>副总经理童劲松</w:t>
      </w:r>
      <w:bookmarkEnd w:id="3"/>
      <w:r>
        <w:rPr>
          <w:rFonts w:hint="eastAsia" w:ascii="仿宋_GB2312" w:hAnsi="黑体" w:eastAsia="仿宋_GB2312" w:cs="宋体"/>
          <w:color w:val="000000"/>
          <w:kern w:val="0"/>
          <w:sz w:val="32"/>
          <w:szCs w:val="32"/>
          <w:highlight w:val="none"/>
        </w:rPr>
        <w:t>到达现场指挥。</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9)一名运行人员胳膊处被浓硫酸灼伤，运行人员迅速脱去污染服装，立即用大量的清水彻底冲洗，最后用0.5%的碳酸氢钠溶液清洗，安全监督部联系办公室安排车辆送皖北煤电集团总医院检查治疗。</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10)现场处置人员冲洗现场，将泄漏的硫酸液体彻底清除，发电部、技术支持部和安全监督部现场人员共同检查确认硫酸废液全部流入附近导流沟，未造成环境污染事故。（现场口述）</w:t>
      </w:r>
    </w:p>
    <w:p>
      <w:pPr>
        <w:pStyle w:val="18"/>
        <w:ind w:firstLine="640"/>
        <w:jc w:val="left"/>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11)安全监督部负责人王宗喜汇报副总经理童劲松现场事故处理结束。</w:t>
      </w:r>
    </w:p>
    <w:p>
      <w:pPr>
        <w:pStyle w:val="18"/>
        <w:ind w:firstLine="640"/>
        <w:jc w:val="left"/>
        <w:rPr>
          <w:color w:val="000000"/>
          <w:sz w:val="28"/>
          <w:szCs w:val="28"/>
          <w:highlight w:val="none"/>
        </w:rPr>
      </w:pPr>
      <w:r>
        <w:rPr>
          <w:rFonts w:hint="eastAsia" w:ascii="仿宋_GB2312" w:hAnsi="黑体" w:eastAsia="仿宋_GB2312" w:cs="宋体"/>
          <w:color w:val="000000"/>
          <w:kern w:val="0"/>
          <w:sz w:val="32"/>
          <w:szCs w:val="32"/>
          <w:highlight w:val="none"/>
        </w:rPr>
        <w:t>12)总指挥宣布现场应急演练结束。</w:t>
      </w:r>
    </w:p>
    <w:p>
      <w:pPr>
        <w:pStyle w:val="18"/>
        <w:ind w:left="420" w:leftChars="200" w:firstLine="0" w:firstLineChars="0"/>
        <w:rPr>
          <w:rStyle w:val="25"/>
          <w:rFonts w:ascii="Times New Roman" w:hAnsi="Times New Roman" w:cs="Times New Roman"/>
          <w:sz w:val="32"/>
          <w:highlight w:val="none"/>
        </w:rPr>
      </w:pPr>
      <w:r>
        <w:rPr>
          <w:rStyle w:val="25"/>
          <w:rFonts w:hint="eastAsia" w:ascii="Times New Roman" w:hAnsi="Times New Roman" w:cs="Times New Roman"/>
          <w:sz w:val="32"/>
          <w:highlight w:val="none"/>
        </w:rPr>
        <w:t>九、演练点评及总结</w:t>
      </w:r>
    </w:p>
    <w:p>
      <w:pPr>
        <w:ind w:firstLine="640" w:firstLineChars="200"/>
        <w:rPr>
          <w:rFonts w:ascii="仿宋_GB2312" w:hAnsi="黑体" w:eastAsia="仿宋_GB2312" w:cs="宋体"/>
          <w:color w:val="000000"/>
          <w:kern w:val="0"/>
          <w:sz w:val="32"/>
          <w:szCs w:val="32"/>
          <w:highlight w:val="none"/>
        </w:rPr>
      </w:pPr>
      <w:r>
        <w:rPr>
          <w:rFonts w:hint="eastAsia" w:ascii="仿宋_GB2312" w:hAnsi="黑体" w:eastAsia="仿宋_GB2312" w:cs="宋体"/>
          <w:color w:val="000000"/>
          <w:kern w:val="0"/>
          <w:sz w:val="32"/>
          <w:szCs w:val="32"/>
          <w:highlight w:val="none"/>
        </w:rPr>
        <w:t>现场应急演练结束后，所有参演人员在现场召开应急演练总结会。所有参演人员对现场演练人员的处理方法，应急演练过程进行评价，指出不足，提出整改意见，总结本次应急演练经验。</w:t>
      </w:r>
    </w:p>
    <w:p>
      <w:pPr>
        <w:rPr>
          <w:highlight w:val="none"/>
        </w:rPr>
      </w:pPr>
    </w:p>
    <w:p>
      <w:r>
        <w:drawing>
          <wp:inline distT="0" distB="0" distL="114300" distR="114300">
            <wp:extent cx="5673725" cy="8077200"/>
            <wp:effectExtent l="0" t="0" r="317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673725" cy="8077200"/>
                    </a:xfrm>
                    <a:prstGeom prst="rect">
                      <a:avLst/>
                    </a:prstGeom>
                    <a:noFill/>
                    <a:ln>
                      <a:noFill/>
                    </a:ln>
                  </pic:spPr>
                </pic:pic>
              </a:graphicData>
            </a:graphic>
          </wp:inline>
        </w:drawing>
      </w:r>
    </w:p>
    <w:p/>
    <w:p>
      <w:pPr>
        <w:jc w:val="center"/>
      </w:pPr>
    </w:p>
    <w:p>
      <w:pPr>
        <w:jc w:val="center"/>
      </w:pPr>
    </w:p>
    <w:p>
      <w:pPr>
        <w:jc w:val="center"/>
      </w:pPr>
      <w:r>
        <w:drawing>
          <wp:inline distT="0" distB="0" distL="114300" distR="114300">
            <wp:extent cx="5694680" cy="7350760"/>
            <wp:effectExtent l="0" t="0" r="1270" b="254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3"/>
                    <a:stretch>
                      <a:fillRect/>
                    </a:stretch>
                  </pic:blipFill>
                  <pic:spPr>
                    <a:xfrm>
                      <a:off x="0" y="0"/>
                      <a:ext cx="5694680" cy="7350760"/>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r>
        <w:drawing>
          <wp:inline distT="0" distB="0" distL="114300" distR="114300">
            <wp:extent cx="5694680" cy="6792595"/>
            <wp:effectExtent l="0" t="0" r="127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4"/>
                    <a:stretch>
                      <a:fillRect/>
                    </a:stretch>
                  </pic:blipFill>
                  <pic:spPr>
                    <a:xfrm>
                      <a:off x="0" y="0"/>
                      <a:ext cx="5694680" cy="6792595"/>
                    </a:xfrm>
                    <a:prstGeom prst="rect">
                      <a:avLst/>
                    </a:prstGeom>
                    <a:noFill/>
                    <a:ln>
                      <a:noFill/>
                    </a:ln>
                  </pic:spPr>
                </pic:pic>
              </a:graphicData>
            </a:graphic>
          </wp:inline>
        </w:drawing>
      </w:r>
    </w:p>
    <w:p>
      <w:pPr>
        <w:jc w:val="center"/>
      </w:pPr>
    </w:p>
    <w:p>
      <w:pPr>
        <w:jc w:val="center"/>
      </w:pPr>
    </w:p>
    <w:p>
      <w:pPr>
        <w:jc w:val="center"/>
      </w:pPr>
    </w:p>
    <w:p>
      <w:pPr>
        <w:jc w:val="center"/>
      </w:pPr>
      <w:r>
        <w:drawing>
          <wp:inline distT="0" distB="0" distL="114300" distR="114300">
            <wp:extent cx="5692140" cy="7248525"/>
            <wp:effectExtent l="0" t="0" r="3810"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5692140" cy="7248525"/>
                    </a:xfrm>
                    <a:prstGeom prst="rect">
                      <a:avLst/>
                    </a:prstGeom>
                    <a:noFill/>
                    <a:ln>
                      <a:noFill/>
                    </a:ln>
                  </pic:spPr>
                </pic:pic>
              </a:graphicData>
            </a:graphic>
          </wp:inline>
        </w:drawing>
      </w:r>
    </w:p>
    <w:p>
      <w:pPr>
        <w:jc w:val="center"/>
        <w:rPr>
          <w:sz w:val="28"/>
          <w:szCs w:val="28"/>
        </w:rPr>
      </w:pPr>
      <w:r>
        <w:rPr>
          <w:rFonts w:hint="eastAsia"/>
          <w:sz w:val="28"/>
          <w:szCs w:val="28"/>
        </w:rPr>
        <w:t>硫酸管道泄漏应急演练</w:t>
      </w:r>
    </w:p>
    <w:sectPr>
      <w:pgSz w:w="11906" w:h="16838"/>
      <w:pgMar w:top="1440" w:right="1800"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CF3C50" w:usb2="00000016" w:usb3="00000000" w:csb0="0004001F" w:csb1="00000000"/>
  </w:font>
  <w:font w:name="方正小标宋_GBK">
    <w:altName w:val="微软雅黑"/>
    <w:panose1 w:val="00000000000000000000"/>
    <w:charset w:val="86"/>
    <w:family w:val="script"/>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10" w:usb3="00000000" w:csb0="00040000" w:csb1="00000000"/>
  </w:font>
  <w:font w:name="仿宋_GB2312">
    <w:altName w:val="仿宋"/>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roma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BC7471"/>
    <w:multiLevelType w:val="singleLevel"/>
    <w:tmpl w:val="F0BC7471"/>
    <w:lvl w:ilvl="0" w:tentative="0">
      <w:start w:val="1"/>
      <w:numFmt w:val="decimal"/>
      <w:suff w:val="nothing"/>
      <w:lvlText w:val="（%1）"/>
      <w:lvlJc w:val="left"/>
    </w:lvl>
  </w:abstractNum>
  <w:abstractNum w:abstractNumId="1">
    <w:nsid w:val="3A714816"/>
    <w:multiLevelType w:val="multilevel"/>
    <w:tmpl w:val="3A71481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C8077F3"/>
    <w:multiLevelType w:val="singleLevel"/>
    <w:tmpl w:val="4C8077F3"/>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491"/>
    <w:rsid w:val="000055D2"/>
    <w:rsid w:val="000101A6"/>
    <w:rsid w:val="00010CFA"/>
    <w:rsid w:val="000713B5"/>
    <w:rsid w:val="00092DA1"/>
    <w:rsid w:val="0009739D"/>
    <w:rsid w:val="000A04D4"/>
    <w:rsid w:val="000B0649"/>
    <w:rsid w:val="000B20C0"/>
    <w:rsid w:val="000B6CBC"/>
    <w:rsid w:val="000C0BC0"/>
    <w:rsid w:val="000F2374"/>
    <w:rsid w:val="00150C40"/>
    <w:rsid w:val="00151F9D"/>
    <w:rsid w:val="001536E0"/>
    <w:rsid w:val="00160009"/>
    <w:rsid w:val="00160A17"/>
    <w:rsid w:val="00164A2D"/>
    <w:rsid w:val="001651A8"/>
    <w:rsid w:val="00172A27"/>
    <w:rsid w:val="00177B04"/>
    <w:rsid w:val="0018115D"/>
    <w:rsid w:val="00185753"/>
    <w:rsid w:val="001A390C"/>
    <w:rsid w:val="001A428A"/>
    <w:rsid w:val="001B0452"/>
    <w:rsid w:val="001C56BB"/>
    <w:rsid w:val="001C63C6"/>
    <w:rsid w:val="001D63E2"/>
    <w:rsid w:val="001E038E"/>
    <w:rsid w:val="001F1A14"/>
    <w:rsid w:val="0020357A"/>
    <w:rsid w:val="00204D7D"/>
    <w:rsid w:val="00217F6C"/>
    <w:rsid w:val="00220665"/>
    <w:rsid w:val="00226D4C"/>
    <w:rsid w:val="002316E8"/>
    <w:rsid w:val="002377A5"/>
    <w:rsid w:val="002475A7"/>
    <w:rsid w:val="00252CF9"/>
    <w:rsid w:val="002628D3"/>
    <w:rsid w:val="00271C71"/>
    <w:rsid w:val="00276774"/>
    <w:rsid w:val="00280518"/>
    <w:rsid w:val="002B00AA"/>
    <w:rsid w:val="002B1A49"/>
    <w:rsid w:val="002B764D"/>
    <w:rsid w:val="002C3F40"/>
    <w:rsid w:val="002C54E1"/>
    <w:rsid w:val="002E0161"/>
    <w:rsid w:val="00300C2E"/>
    <w:rsid w:val="0031121B"/>
    <w:rsid w:val="00314098"/>
    <w:rsid w:val="0031481D"/>
    <w:rsid w:val="003170EC"/>
    <w:rsid w:val="00343A8E"/>
    <w:rsid w:val="00357BFD"/>
    <w:rsid w:val="00376C31"/>
    <w:rsid w:val="003807AC"/>
    <w:rsid w:val="00386C35"/>
    <w:rsid w:val="003A0F3E"/>
    <w:rsid w:val="003B0674"/>
    <w:rsid w:val="003B427F"/>
    <w:rsid w:val="003B4C2B"/>
    <w:rsid w:val="003D3DFF"/>
    <w:rsid w:val="003D5BBE"/>
    <w:rsid w:val="003E67D4"/>
    <w:rsid w:val="003F0F0A"/>
    <w:rsid w:val="003F23D6"/>
    <w:rsid w:val="003F2501"/>
    <w:rsid w:val="00405EC0"/>
    <w:rsid w:val="00415FF9"/>
    <w:rsid w:val="00427BC8"/>
    <w:rsid w:val="0044224F"/>
    <w:rsid w:val="00462B2F"/>
    <w:rsid w:val="0047422B"/>
    <w:rsid w:val="004801A9"/>
    <w:rsid w:val="00486715"/>
    <w:rsid w:val="004B20B9"/>
    <w:rsid w:val="004B6E4B"/>
    <w:rsid w:val="004C2325"/>
    <w:rsid w:val="004D0C0F"/>
    <w:rsid w:val="004D1064"/>
    <w:rsid w:val="004D2A4A"/>
    <w:rsid w:val="004D3AEB"/>
    <w:rsid w:val="004D4BF3"/>
    <w:rsid w:val="004D5AD7"/>
    <w:rsid w:val="004E1493"/>
    <w:rsid w:val="004E1C13"/>
    <w:rsid w:val="004E2A65"/>
    <w:rsid w:val="004F70CD"/>
    <w:rsid w:val="005019FD"/>
    <w:rsid w:val="00506F50"/>
    <w:rsid w:val="00525CE4"/>
    <w:rsid w:val="005263BE"/>
    <w:rsid w:val="00532DC2"/>
    <w:rsid w:val="005438D9"/>
    <w:rsid w:val="005440F5"/>
    <w:rsid w:val="00553CE6"/>
    <w:rsid w:val="0058343E"/>
    <w:rsid w:val="005861F9"/>
    <w:rsid w:val="005905C7"/>
    <w:rsid w:val="005955D8"/>
    <w:rsid w:val="00596DEF"/>
    <w:rsid w:val="005A29FD"/>
    <w:rsid w:val="005A2EF8"/>
    <w:rsid w:val="005B0CDB"/>
    <w:rsid w:val="005C699A"/>
    <w:rsid w:val="005D61B3"/>
    <w:rsid w:val="005F116D"/>
    <w:rsid w:val="005F4787"/>
    <w:rsid w:val="00610D43"/>
    <w:rsid w:val="00620DFE"/>
    <w:rsid w:val="00626112"/>
    <w:rsid w:val="0063127C"/>
    <w:rsid w:val="006505E9"/>
    <w:rsid w:val="006638D1"/>
    <w:rsid w:val="0066582D"/>
    <w:rsid w:val="006736B6"/>
    <w:rsid w:val="00673DD0"/>
    <w:rsid w:val="00697366"/>
    <w:rsid w:val="00697BA4"/>
    <w:rsid w:val="006A21B1"/>
    <w:rsid w:val="006B1727"/>
    <w:rsid w:val="006B1964"/>
    <w:rsid w:val="006B29FE"/>
    <w:rsid w:val="006C3C07"/>
    <w:rsid w:val="006D1DBA"/>
    <w:rsid w:val="006E05E5"/>
    <w:rsid w:val="006E08F3"/>
    <w:rsid w:val="006E5460"/>
    <w:rsid w:val="006F07C0"/>
    <w:rsid w:val="006F0DE0"/>
    <w:rsid w:val="006F550F"/>
    <w:rsid w:val="00703A10"/>
    <w:rsid w:val="007173DB"/>
    <w:rsid w:val="00721FEF"/>
    <w:rsid w:val="00722C69"/>
    <w:rsid w:val="0072545E"/>
    <w:rsid w:val="007255FF"/>
    <w:rsid w:val="007362C3"/>
    <w:rsid w:val="0073698D"/>
    <w:rsid w:val="007509A8"/>
    <w:rsid w:val="007653A5"/>
    <w:rsid w:val="007665EE"/>
    <w:rsid w:val="007931FA"/>
    <w:rsid w:val="00795D2D"/>
    <w:rsid w:val="007A0864"/>
    <w:rsid w:val="007C09B8"/>
    <w:rsid w:val="007C377B"/>
    <w:rsid w:val="007E1265"/>
    <w:rsid w:val="007E7092"/>
    <w:rsid w:val="007E7970"/>
    <w:rsid w:val="007F2E4F"/>
    <w:rsid w:val="007F5AA0"/>
    <w:rsid w:val="00803BCD"/>
    <w:rsid w:val="00806132"/>
    <w:rsid w:val="008065B4"/>
    <w:rsid w:val="00807E14"/>
    <w:rsid w:val="00816379"/>
    <w:rsid w:val="00820145"/>
    <w:rsid w:val="00822EDA"/>
    <w:rsid w:val="00841C4B"/>
    <w:rsid w:val="0084519D"/>
    <w:rsid w:val="00847138"/>
    <w:rsid w:val="0085555C"/>
    <w:rsid w:val="00860FBA"/>
    <w:rsid w:val="008652F8"/>
    <w:rsid w:val="00881654"/>
    <w:rsid w:val="00882777"/>
    <w:rsid w:val="00885932"/>
    <w:rsid w:val="008906DB"/>
    <w:rsid w:val="008972DA"/>
    <w:rsid w:val="00897AFD"/>
    <w:rsid w:val="008A2E4C"/>
    <w:rsid w:val="008F73EC"/>
    <w:rsid w:val="00901FE1"/>
    <w:rsid w:val="00905337"/>
    <w:rsid w:val="0091353E"/>
    <w:rsid w:val="00915E89"/>
    <w:rsid w:val="00923945"/>
    <w:rsid w:val="009321A2"/>
    <w:rsid w:val="0094102D"/>
    <w:rsid w:val="00943FAF"/>
    <w:rsid w:val="009461D2"/>
    <w:rsid w:val="009677AB"/>
    <w:rsid w:val="0097076C"/>
    <w:rsid w:val="009829AC"/>
    <w:rsid w:val="009A2266"/>
    <w:rsid w:val="009B154F"/>
    <w:rsid w:val="009B3418"/>
    <w:rsid w:val="009B54E7"/>
    <w:rsid w:val="009C5D85"/>
    <w:rsid w:val="009E1D0C"/>
    <w:rsid w:val="009F1040"/>
    <w:rsid w:val="009F2E17"/>
    <w:rsid w:val="00A2468A"/>
    <w:rsid w:val="00A348B0"/>
    <w:rsid w:val="00A35DF8"/>
    <w:rsid w:val="00A4722B"/>
    <w:rsid w:val="00A9080F"/>
    <w:rsid w:val="00AA224B"/>
    <w:rsid w:val="00AA7B95"/>
    <w:rsid w:val="00AB215B"/>
    <w:rsid w:val="00AC4881"/>
    <w:rsid w:val="00AD29B9"/>
    <w:rsid w:val="00AD46A1"/>
    <w:rsid w:val="00AD5BB5"/>
    <w:rsid w:val="00AF3A3F"/>
    <w:rsid w:val="00B010BF"/>
    <w:rsid w:val="00B01CB9"/>
    <w:rsid w:val="00B021CA"/>
    <w:rsid w:val="00B048CB"/>
    <w:rsid w:val="00B0698D"/>
    <w:rsid w:val="00B07215"/>
    <w:rsid w:val="00B22035"/>
    <w:rsid w:val="00B23E1F"/>
    <w:rsid w:val="00B375CF"/>
    <w:rsid w:val="00B40482"/>
    <w:rsid w:val="00B45593"/>
    <w:rsid w:val="00B60884"/>
    <w:rsid w:val="00B62E8A"/>
    <w:rsid w:val="00B6657F"/>
    <w:rsid w:val="00B73715"/>
    <w:rsid w:val="00B93A0D"/>
    <w:rsid w:val="00B95538"/>
    <w:rsid w:val="00BA038C"/>
    <w:rsid w:val="00BA22A7"/>
    <w:rsid w:val="00BA798F"/>
    <w:rsid w:val="00BC1BC1"/>
    <w:rsid w:val="00BD5B69"/>
    <w:rsid w:val="00BE7A8C"/>
    <w:rsid w:val="00C07024"/>
    <w:rsid w:val="00C26BC4"/>
    <w:rsid w:val="00C45BB7"/>
    <w:rsid w:val="00C55A8F"/>
    <w:rsid w:val="00C766E4"/>
    <w:rsid w:val="00C8110F"/>
    <w:rsid w:val="00C81980"/>
    <w:rsid w:val="00C841F7"/>
    <w:rsid w:val="00C96FC8"/>
    <w:rsid w:val="00CA1D2B"/>
    <w:rsid w:val="00CA1D6C"/>
    <w:rsid w:val="00CA4838"/>
    <w:rsid w:val="00CB37FC"/>
    <w:rsid w:val="00CB7D2C"/>
    <w:rsid w:val="00CC30C8"/>
    <w:rsid w:val="00CC46A1"/>
    <w:rsid w:val="00CC7462"/>
    <w:rsid w:val="00CD176B"/>
    <w:rsid w:val="00CD6E96"/>
    <w:rsid w:val="00CD7877"/>
    <w:rsid w:val="00CE6C60"/>
    <w:rsid w:val="00D0197D"/>
    <w:rsid w:val="00D057C9"/>
    <w:rsid w:val="00D07344"/>
    <w:rsid w:val="00D07B38"/>
    <w:rsid w:val="00D234F8"/>
    <w:rsid w:val="00D275D6"/>
    <w:rsid w:val="00D370B2"/>
    <w:rsid w:val="00D50393"/>
    <w:rsid w:val="00D503BE"/>
    <w:rsid w:val="00D52C09"/>
    <w:rsid w:val="00D56D08"/>
    <w:rsid w:val="00D72C39"/>
    <w:rsid w:val="00D75145"/>
    <w:rsid w:val="00DA6B9F"/>
    <w:rsid w:val="00DB6935"/>
    <w:rsid w:val="00DC0D3A"/>
    <w:rsid w:val="00DE1E7C"/>
    <w:rsid w:val="00E118D4"/>
    <w:rsid w:val="00E25E49"/>
    <w:rsid w:val="00E33351"/>
    <w:rsid w:val="00E44898"/>
    <w:rsid w:val="00E50D7B"/>
    <w:rsid w:val="00E57BF5"/>
    <w:rsid w:val="00E76BD8"/>
    <w:rsid w:val="00E76C85"/>
    <w:rsid w:val="00E807F8"/>
    <w:rsid w:val="00EA13BA"/>
    <w:rsid w:val="00EA6430"/>
    <w:rsid w:val="00EC2E25"/>
    <w:rsid w:val="00EE7DA8"/>
    <w:rsid w:val="00EF2402"/>
    <w:rsid w:val="00EF52A5"/>
    <w:rsid w:val="00EF5A21"/>
    <w:rsid w:val="00F13B00"/>
    <w:rsid w:val="00F27D15"/>
    <w:rsid w:val="00F32AEB"/>
    <w:rsid w:val="00F4416B"/>
    <w:rsid w:val="00F50E1B"/>
    <w:rsid w:val="00F56455"/>
    <w:rsid w:val="00F567B7"/>
    <w:rsid w:val="00F61CAB"/>
    <w:rsid w:val="00F65BB6"/>
    <w:rsid w:val="00F75F21"/>
    <w:rsid w:val="00F81943"/>
    <w:rsid w:val="00F84B7E"/>
    <w:rsid w:val="00F93B12"/>
    <w:rsid w:val="00FA2EAC"/>
    <w:rsid w:val="00FA5554"/>
    <w:rsid w:val="00FA7E53"/>
    <w:rsid w:val="00FB0191"/>
    <w:rsid w:val="00FB249B"/>
    <w:rsid w:val="00FB5E40"/>
    <w:rsid w:val="00FC139F"/>
    <w:rsid w:val="00FD2492"/>
    <w:rsid w:val="00FE505C"/>
    <w:rsid w:val="01975C8E"/>
    <w:rsid w:val="02452BFE"/>
    <w:rsid w:val="076E08BF"/>
    <w:rsid w:val="0B4F1579"/>
    <w:rsid w:val="0B7E3666"/>
    <w:rsid w:val="14300EBF"/>
    <w:rsid w:val="164238CA"/>
    <w:rsid w:val="1B2C5D99"/>
    <w:rsid w:val="1C626054"/>
    <w:rsid w:val="1CF557CA"/>
    <w:rsid w:val="1F1779F0"/>
    <w:rsid w:val="20077C58"/>
    <w:rsid w:val="20253FF7"/>
    <w:rsid w:val="222022C5"/>
    <w:rsid w:val="22A64630"/>
    <w:rsid w:val="266141A8"/>
    <w:rsid w:val="27322D3C"/>
    <w:rsid w:val="2919017D"/>
    <w:rsid w:val="2A372A72"/>
    <w:rsid w:val="2C970F8B"/>
    <w:rsid w:val="31407629"/>
    <w:rsid w:val="33C76D50"/>
    <w:rsid w:val="343739B7"/>
    <w:rsid w:val="3C4000E4"/>
    <w:rsid w:val="4170672C"/>
    <w:rsid w:val="44817E38"/>
    <w:rsid w:val="477A6F8C"/>
    <w:rsid w:val="4A0126FC"/>
    <w:rsid w:val="4FA03F96"/>
    <w:rsid w:val="504718FF"/>
    <w:rsid w:val="50EA11F6"/>
    <w:rsid w:val="51460A93"/>
    <w:rsid w:val="5426772E"/>
    <w:rsid w:val="56986B47"/>
    <w:rsid w:val="56AB19F3"/>
    <w:rsid w:val="58EC52FC"/>
    <w:rsid w:val="60244DDA"/>
    <w:rsid w:val="62A9408A"/>
    <w:rsid w:val="696607D5"/>
    <w:rsid w:val="6AF21A4D"/>
    <w:rsid w:val="6D902DCA"/>
    <w:rsid w:val="6F6C272C"/>
    <w:rsid w:val="70C74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0"/>
    <w:pPr>
      <w:spacing w:afterLines="50" w:line="500" w:lineRule="exact"/>
      <w:outlineLvl w:val="0"/>
    </w:pPr>
    <w:rPr>
      <w:rFonts w:ascii="幼圆" w:hAnsi="Times New Roman" w:eastAsia="幼圆" w:cs="Times New Roman"/>
      <w:b/>
      <w:sz w:val="30"/>
      <w:szCs w:val="30"/>
    </w:rPr>
  </w:style>
  <w:style w:type="paragraph" w:styleId="3">
    <w:name w:val="heading 2"/>
    <w:basedOn w:val="1"/>
    <w:next w:val="1"/>
    <w:link w:val="25"/>
    <w:qFormat/>
    <w:uiPriority w:val="0"/>
    <w:pPr>
      <w:spacing w:line="360" w:lineRule="auto"/>
      <w:outlineLvl w:val="1"/>
    </w:pPr>
    <w:rPr>
      <w:rFonts w:ascii="宋体" w:hAnsi="宋体" w:eastAsia="宋体" w:cs="Times New Roman"/>
      <w:b/>
      <w:sz w:val="28"/>
      <w:szCs w:val="28"/>
    </w:rPr>
  </w:style>
  <w:style w:type="paragraph" w:styleId="4">
    <w:name w:val="heading 3"/>
    <w:basedOn w:val="1"/>
    <w:next w:val="1"/>
    <w:link w:val="17"/>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5">
    <w:name w:val="annotation text"/>
    <w:basedOn w:val="1"/>
    <w:link w:val="26"/>
    <w:semiHidden/>
    <w:unhideWhenUsed/>
    <w:qFormat/>
    <w:uiPriority w:val="99"/>
    <w:pPr>
      <w:jc w:val="left"/>
    </w:pPr>
  </w:style>
  <w:style w:type="paragraph" w:styleId="6">
    <w:name w:val="Balloon Text"/>
    <w:basedOn w:val="1"/>
    <w:link w:val="20"/>
    <w:semiHidden/>
    <w:unhideWhenUsed/>
    <w:qFormat/>
    <w:uiPriority w:val="99"/>
    <w:rPr>
      <w:sz w:val="18"/>
      <w:szCs w:val="18"/>
    </w:rPr>
  </w:style>
  <w:style w:type="paragraph" w:styleId="7">
    <w:name w:val="footer"/>
    <w:basedOn w:val="1"/>
    <w:link w:val="22"/>
    <w:unhideWhenUsed/>
    <w:uiPriority w:val="99"/>
    <w:pPr>
      <w:tabs>
        <w:tab w:val="center" w:pos="4153"/>
        <w:tab w:val="right" w:pos="8306"/>
      </w:tabs>
      <w:snapToGrid w:val="0"/>
      <w:jc w:val="left"/>
    </w:pPr>
    <w:rPr>
      <w:sz w:val="18"/>
      <w:szCs w:val="18"/>
    </w:rPr>
  </w:style>
  <w:style w:type="paragraph" w:styleId="8">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annotation subject"/>
    <w:basedOn w:val="5"/>
    <w:next w:val="5"/>
    <w:link w:val="27"/>
    <w:semiHidden/>
    <w:unhideWhenUsed/>
    <w:qFormat/>
    <w:uiPriority w:val="99"/>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Emphasis"/>
    <w:basedOn w:val="12"/>
    <w:qFormat/>
    <w:uiPriority w:val="20"/>
    <w:rPr>
      <w:i/>
    </w:rPr>
  </w:style>
  <w:style w:type="character" w:styleId="14">
    <w:name w:val="annotation reference"/>
    <w:basedOn w:val="12"/>
    <w:semiHidden/>
    <w:unhideWhenUsed/>
    <w:qFormat/>
    <w:uiPriority w:val="99"/>
    <w:rPr>
      <w:sz w:val="21"/>
      <w:szCs w:val="21"/>
    </w:rPr>
  </w:style>
  <w:style w:type="character" w:customStyle="1" w:styleId="15">
    <w:name w:val="标题 1 字符"/>
    <w:basedOn w:val="12"/>
    <w:link w:val="2"/>
    <w:qFormat/>
    <w:uiPriority w:val="0"/>
    <w:rPr>
      <w:rFonts w:ascii="幼圆" w:eastAsia="幼圆"/>
      <w:b/>
      <w:kern w:val="2"/>
      <w:sz w:val="30"/>
      <w:szCs w:val="30"/>
    </w:rPr>
  </w:style>
  <w:style w:type="character" w:customStyle="1" w:styleId="16">
    <w:name w:val="标题 2 Char"/>
    <w:basedOn w:val="12"/>
    <w:qFormat/>
    <w:uiPriority w:val="0"/>
    <w:rPr>
      <w:rFonts w:ascii="宋体" w:hAnsi="宋体"/>
      <w:b/>
      <w:kern w:val="2"/>
      <w:sz w:val="28"/>
      <w:szCs w:val="28"/>
    </w:rPr>
  </w:style>
  <w:style w:type="character" w:customStyle="1" w:styleId="17">
    <w:name w:val="标题 3 字符"/>
    <w:basedOn w:val="12"/>
    <w:link w:val="4"/>
    <w:qFormat/>
    <w:uiPriority w:val="0"/>
    <w:rPr>
      <w:b/>
      <w:bCs/>
      <w:kern w:val="2"/>
      <w:sz w:val="32"/>
      <w:szCs w:val="32"/>
    </w:rPr>
  </w:style>
  <w:style w:type="paragraph" w:styleId="18">
    <w:name w:val="List Paragraph"/>
    <w:basedOn w:val="1"/>
    <w:qFormat/>
    <w:uiPriority w:val="34"/>
    <w:pPr>
      <w:ind w:firstLine="420" w:firstLineChars="200"/>
    </w:pPr>
  </w:style>
  <w:style w:type="paragraph" w:customStyle="1" w:styleId="19">
    <w:name w:val="列出段落1"/>
    <w:basedOn w:val="1"/>
    <w:qFormat/>
    <w:uiPriority w:val="34"/>
    <w:pPr>
      <w:ind w:firstLine="420" w:firstLineChars="200"/>
    </w:pPr>
  </w:style>
  <w:style w:type="character" w:customStyle="1" w:styleId="20">
    <w:name w:val="批注框文本 字符"/>
    <w:basedOn w:val="12"/>
    <w:link w:val="6"/>
    <w:semiHidden/>
    <w:qFormat/>
    <w:uiPriority w:val="99"/>
    <w:rPr>
      <w:rFonts w:asciiTheme="minorHAnsi" w:hAnsiTheme="minorHAnsi" w:eastAsiaTheme="minorEastAsia" w:cstheme="minorBidi"/>
      <w:kern w:val="2"/>
      <w:sz w:val="18"/>
      <w:szCs w:val="18"/>
    </w:rPr>
  </w:style>
  <w:style w:type="character" w:customStyle="1" w:styleId="21">
    <w:name w:val="页眉 字符"/>
    <w:basedOn w:val="12"/>
    <w:link w:val="8"/>
    <w:qFormat/>
    <w:uiPriority w:val="99"/>
    <w:rPr>
      <w:rFonts w:asciiTheme="minorHAnsi" w:hAnsiTheme="minorHAnsi" w:eastAsiaTheme="minorEastAsia" w:cstheme="minorBidi"/>
      <w:kern w:val="2"/>
      <w:sz w:val="18"/>
      <w:szCs w:val="18"/>
    </w:rPr>
  </w:style>
  <w:style w:type="character" w:customStyle="1" w:styleId="22">
    <w:name w:val="页脚 字符"/>
    <w:basedOn w:val="12"/>
    <w:link w:val="7"/>
    <w:qFormat/>
    <w:uiPriority w:val="99"/>
    <w:rPr>
      <w:rFonts w:asciiTheme="minorHAnsi" w:hAnsiTheme="minorHAnsi" w:eastAsiaTheme="minorEastAsia" w:cstheme="minorBidi"/>
      <w:kern w:val="2"/>
      <w:sz w:val="18"/>
      <w:szCs w:val="18"/>
    </w:rPr>
  </w:style>
  <w:style w:type="paragraph" w:customStyle="1" w:styleId="23">
    <w:name w:val="Default"/>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24">
    <w:name w:val="正文文本3"/>
    <w:basedOn w:val="1"/>
    <w:qFormat/>
    <w:uiPriority w:val="0"/>
    <w:pPr>
      <w:shd w:val="clear" w:color="auto" w:fill="FFFFFF"/>
      <w:spacing w:line="327" w:lineRule="exact"/>
      <w:jc w:val="distribute"/>
    </w:pPr>
    <w:rPr>
      <w:rFonts w:ascii="黑体" w:hAnsi="黑体" w:eastAsia="黑体" w:cs="黑体"/>
      <w:sz w:val="14"/>
      <w:szCs w:val="14"/>
    </w:rPr>
  </w:style>
  <w:style w:type="character" w:customStyle="1" w:styleId="25">
    <w:name w:val="标题 2 字符"/>
    <w:basedOn w:val="12"/>
    <w:link w:val="3"/>
    <w:qFormat/>
    <w:uiPriority w:val="9"/>
    <w:rPr>
      <w:rFonts w:eastAsia="宋体" w:asciiTheme="majorHAnsi" w:hAnsiTheme="majorHAnsi" w:cstheme="majorBidi"/>
      <w:b/>
      <w:bCs/>
      <w:sz w:val="28"/>
      <w:szCs w:val="32"/>
    </w:rPr>
  </w:style>
  <w:style w:type="character" w:customStyle="1" w:styleId="26">
    <w:name w:val="批注文字 字符"/>
    <w:basedOn w:val="12"/>
    <w:link w:val="5"/>
    <w:semiHidden/>
    <w:qFormat/>
    <w:uiPriority w:val="99"/>
    <w:rPr>
      <w:rFonts w:asciiTheme="minorHAnsi" w:hAnsiTheme="minorHAnsi" w:eastAsiaTheme="minorEastAsia" w:cstheme="minorBidi"/>
      <w:kern w:val="2"/>
      <w:sz w:val="21"/>
      <w:szCs w:val="22"/>
    </w:rPr>
  </w:style>
  <w:style w:type="character" w:customStyle="1" w:styleId="27">
    <w:name w:val="批注主题 字符"/>
    <w:basedOn w:val="26"/>
    <w:link w:val="9"/>
    <w:semiHidden/>
    <w:qFormat/>
    <w:uiPriority w:val="99"/>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9AD227-A1A4-45BE-8C05-CE908CBB514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2517</Words>
  <Characters>14347</Characters>
  <Lines>119</Lines>
  <Paragraphs>33</Paragraphs>
  <TotalTime>17</TotalTime>
  <ScaleCrop>false</ScaleCrop>
  <LinksUpToDate>false</LinksUpToDate>
  <CharactersWithSpaces>16831</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2020-03-24T06:02:00Z</dcterms:created>
  <dc:creator>Administrator</dc:creator>
  <cp:lastModifiedBy>李迎</cp:lastModifiedBy>
  <dcterms:modified xsi:type="dcterms:W3CDTF">2020-08-13T08:14:28Z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